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12621" w14:textId="77777777" w:rsidR="00944A74" w:rsidRDefault="00944A74" w:rsidP="00944A74">
      <w:pPr>
        <w:widowControl w:val="0"/>
        <w:autoSpaceDE w:val="0"/>
        <w:autoSpaceDN w:val="0"/>
        <w:adjustRightInd w:val="0"/>
        <w:rPr>
          <w:sz w:val="3"/>
          <w:szCs w:val="3"/>
        </w:rPr>
      </w:pPr>
    </w:p>
    <w:p w14:paraId="4AD0C489" w14:textId="77777777" w:rsidR="00E73D43" w:rsidRDefault="00944A74" w:rsidP="00944A74">
      <w:pPr>
        <w:widowControl w:val="0"/>
        <w:tabs>
          <w:tab w:val="center" w:pos="4819"/>
          <w:tab w:val="right" w:pos="9582"/>
        </w:tabs>
        <w:autoSpaceDE w:val="0"/>
        <w:autoSpaceDN w:val="0"/>
        <w:adjustRightInd w:val="0"/>
      </w:pPr>
      <w:r>
        <w:tab/>
      </w:r>
    </w:p>
    <w:p w14:paraId="4610A20C" w14:textId="00CE428E" w:rsidR="00944A74" w:rsidRDefault="00944A74" w:rsidP="00E73D43">
      <w:pPr>
        <w:widowControl w:val="0"/>
        <w:tabs>
          <w:tab w:val="center" w:pos="4819"/>
          <w:tab w:val="right" w:pos="9582"/>
        </w:tabs>
        <w:autoSpaceDE w:val="0"/>
        <w:autoSpaceDN w:val="0"/>
        <w:adjustRightInd w:val="0"/>
        <w:jc w:val="center"/>
        <w:rPr>
          <w:rFonts w:ascii="Arial" w:hAnsi="Arial" w:cs="Arial"/>
          <w:b/>
          <w:bCs/>
          <w:color w:val="000000"/>
        </w:rPr>
      </w:pPr>
      <w:r>
        <w:rPr>
          <w:rFonts w:ascii="Arial" w:hAnsi="Arial" w:cs="Arial"/>
          <w:b/>
          <w:bCs/>
          <w:color w:val="008000"/>
          <w:u w:val="single"/>
        </w:rPr>
        <w:t>Univer</w:t>
      </w:r>
      <w:r w:rsidR="00FC6AD9">
        <w:rPr>
          <w:rFonts w:ascii="Arial" w:hAnsi="Arial" w:cs="Arial"/>
          <w:b/>
          <w:bCs/>
          <w:color w:val="008000"/>
          <w:u w:val="single"/>
        </w:rPr>
        <w:t xml:space="preserve">sité PARIS - PANTHÉON - ASSAS </w:t>
      </w:r>
    </w:p>
    <w:p w14:paraId="07257DE1" w14:textId="77777777" w:rsidR="00944A74" w:rsidRDefault="00944A74" w:rsidP="00944A74">
      <w:pPr>
        <w:widowControl w:val="0"/>
        <w:autoSpaceDE w:val="0"/>
        <w:autoSpaceDN w:val="0"/>
        <w:adjustRightInd w:val="0"/>
        <w:rPr>
          <w:rFonts w:ascii="Arial" w:hAnsi="Arial" w:cs="Arial"/>
          <w:b/>
          <w:bCs/>
          <w:color w:val="000000"/>
          <w:sz w:val="20"/>
          <w:szCs w:val="20"/>
        </w:rPr>
      </w:pPr>
    </w:p>
    <w:p w14:paraId="445ADA35" w14:textId="77777777" w:rsidR="00944A74" w:rsidRDefault="00944A74" w:rsidP="00944A74">
      <w:pPr>
        <w:widowControl w:val="0"/>
        <w:autoSpaceDE w:val="0"/>
        <w:autoSpaceDN w:val="0"/>
        <w:adjustRightInd w:val="0"/>
        <w:rPr>
          <w:rFonts w:ascii="Arial" w:hAnsi="Arial" w:cs="Arial"/>
          <w:b/>
          <w:bCs/>
          <w:color w:val="000000"/>
          <w:sz w:val="8"/>
          <w:szCs w:val="8"/>
        </w:rPr>
      </w:pPr>
    </w:p>
    <w:p w14:paraId="6C72094E" w14:textId="77777777" w:rsidR="00CF5AD9" w:rsidRDefault="00944A74" w:rsidP="00CF5AD9">
      <w:pPr>
        <w:widowControl w:val="0"/>
        <w:tabs>
          <w:tab w:val="center" w:pos="4821"/>
          <w:tab w:val="right" w:pos="9582"/>
        </w:tabs>
        <w:autoSpaceDE w:val="0"/>
        <w:autoSpaceDN w:val="0"/>
        <w:adjustRightInd w:val="0"/>
        <w:ind w:left="142" w:right="-426"/>
        <w:rPr>
          <w:rFonts w:ascii="Arial" w:hAnsi="Arial" w:cs="Arial"/>
          <w:b/>
          <w:bCs/>
          <w:color w:val="000000"/>
        </w:rPr>
      </w:pPr>
      <w:r>
        <w:tab/>
      </w:r>
      <w:r>
        <w:rPr>
          <w:rFonts w:ascii="Arial" w:hAnsi="Arial" w:cs="Arial"/>
          <w:b/>
          <w:bCs/>
          <w:color w:val="800000"/>
          <w:u w:val="single"/>
        </w:rPr>
        <w:t>Droit - Economie - Sciences Sociale</w:t>
      </w:r>
      <w:r w:rsidR="00E73D43">
        <w:rPr>
          <w:rFonts w:ascii="Arial" w:hAnsi="Arial" w:cs="Arial"/>
          <w:b/>
          <w:bCs/>
          <w:color w:val="800000"/>
          <w:u w:val="single"/>
        </w:rPr>
        <w:t>s</w:t>
      </w:r>
    </w:p>
    <w:p w14:paraId="6DDBDE4F" w14:textId="77777777"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p>
    <w:p w14:paraId="26EC68F9" w14:textId="77777777" w:rsidR="00944A74" w:rsidRDefault="00944A74" w:rsidP="00944A74">
      <w:pPr>
        <w:widowControl w:val="0"/>
        <w:autoSpaceDE w:val="0"/>
        <w:autoSpaceDN w:val="0"/>
        <w:adjustRightInd w:val="0"/>
        <w:rPr>
          <w:rFonts w:ascii="Arial" w:hAnsi="Arial" w:cs="Arial"/>
          <w:b/>
          <w:bCs/>
          <w:color w:val="000000"/>
          <w:sz w:val="20"/>
          <w:szCs w:val="20"/>
        </w:rPr>
      </w:pPr>
    </w:p>
    <w:p w14:paraId="5683DE10" w14:textId="77777777" w:rsidR="00E73D43" w:rsidRDefault="00E73D43" w:rsidP="00E73D43">
      <w:pPr>
        <w:widowControl w:val="0"/>
        <w:tabs>
          <w:tab w:val="center" w:pos="4819"/>
          <w:tab w:val="right" w:pos="9582"/>
        </w:tabs>
        <w:autoSpaceDE w:val="0"/>
        <w:autoSpaceDN w:val="0"/>
        <w:adjustRightInd w:val="0"/>
        <w:jc w:val="right"/>
        <w:rPr>
          <w:rFonts w:ascii="Arial" w:hAnsi="Arial" w:cs="Arial"/>
          <w:b/>
          <w:bCs/>
          <w:color w:val="000000"/>
        </w:rPr>
      </w:pP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1</w:t>
      </w:r>
    </w:p>
    <w:p w14:paraId="1BEB0234" w14:textId="3B36735D" w:rsidR="00E73D43" w:rsidRDefault="00FC6AD9" w:rsidP="00E73D43">
      <w:pPr>
        <w:widowControl w:val="0"/>
        <w:tabs>
          <w:tab w:val="center" w:pos="4819"/>
          <w:tab w:val="right" w:pos="9582"/>
        </w:tabs>
        <w:autoSpaceDE w:val="0"/>
        <w:autoSpaceDN w:val="0"/>
        <w:adjustRightInd w:val="0"/>
        <w:jc w:val="right"/>
        <w:rPr>
          <w:rFonts w:ascii="Arial" w:hAnsi="Arial" w:cs="Arial"/>
          <w:b/>
          <w:bCs/>
          <w:color w:val="000000"/>
        </w:rPr>
      </w:pPr>
      <w:r>
        <w:rPr>
          <w:rFonts w:ascii="Arial" w:hAnsi="Arial" w:cs="Arial"/>
        </w:rPr>
        <w:t>L12104AC</w:t>
      </w:r>
    </w:p>
    <w:p w14:paraId="21C03812" w14:textId="77777777" w:rsidR="00944A74" w:rsidRDefault="00944A74" w:rsidP="00944A74">
      <w:pPr>
        <w:widowControl w:val="0"/>
        <w:autoSpaceDE w:val="0"/>
        <w:autoSpaceDN w:val="0"/>
        <w:adjustRightInd w:val="0"/>
        <w:rPr>
          <w:rFonts w:ascii="Arial" w:hAnsi="Arial" w:cs="Arial"/>
          <w:b/>
          <w:bCs/>
          <w:color w:val="000000"/>
          <w:sz w:val="15"/>
          <w:szCs w:val="15"/>
        </w:rPr>
      </w:pPr>
    </w:p>
    <w:p w14:paraId="752CC7F6" w14:textId="2523945F" w:rsidR="00944A74" w:rsidRDefault="00944A74" w:rsidP="00707662">
      <w:pPr>
        <w:widowControl w:val="0"/>
        <w:tabs>
          <w:tab w:val="left" w:pos="62"/>
        </w:tabs>
        <w:autoSpaceDE w:val="0"/>
        <w:autoSpaceDN w:val="0"/>
        <w:adjustRightInd w:val="0"/>
        <w:rPr>
          <w:rFonts w:ascii="Arial" w:hAnsi="Arial" w:cs="Arial"/>
          <w:color w:val="000000"/>
          <w:sz w:val="6"/>
          <w:szCs w:val="6"/>
        </w:rPr>
      </w:pPr>
      <w:r>
        <w:tab/>
      </w:r>
    </w:p>
    <w:p w14:paraId="5200207A" w14:textId="77777777" w:rsidR="00944A74" w:rsidRPr="008D3D44" w:rsidRDefault="00944A74" w:rsidP="00944A74">
      <w:pPr>
        <w:widowControl w:val="0"/>
        <w:tabs>
          <w:tab w:val="left" w:pos="56"/>
          <w:tab w:val="left" w:pos="2688"/>
        </w:tabs>
        <w:autoSpaceDE w:val="0"/>
        <w:autoSpaceDN w:val="0"/>
        <w:adjustRightInd w:val="0"/>
        <w:rPr>
          <w:rFonts w:ascii="Arial" w:hAnsi="Arial" w:cs="Arial"/>
          <w:color w:val="000000"/>
        </w:rPr>
      </w:pPr>
      <w:r>
        <w:tab/>
      </w:r>
      <w:r w:rsidRPr="008D3D44">
        <w:rPr>
          <w:rFonts w:ascii="Arial" w:hAnsi="Arial" w:cs="Arial"/>
          <w:b/>
          <w:bCs/>
          <w:color w:val="000000"/>
        </w:rPr>
        <w:t xml:space="preserve">Session : </w:t>
      </w:r>
      <w:r w:rsidRPr="008D3D44">
        <w:rPr>
          <w:rFonts w:ascii="Arial" w:hAnsi="Arial" w:cs="Arial"/>
        </w:rPr>
        <w:tab/>
      </w:r>
      <w:r w:rsidR="00940555" w:rsidRPr="008D3D44">
        <w:rPr>
          <w:rFonts w:ascii="Arial" w:hAnsi="Arial" w:cs="Arial"/>
          <w:color w:val="000000"/>
        </w:rPr>
        <w:t>J</w:t>
      </w:r>
      <w:r w:rsidR="00713CBE">
        <w:rPr>
          <w:rFonts w:ascii="Arial" w:hAnsi="Arial" w:cs="Arial"/>
          <w:color w:val="000000"/>
        </w:rPr>
        <w:t>anvier</w:t>
      </w:r>
      <w:r w:rsidR="00940555" w:rsidRPr="008D3D44">
        <w:rPr>
          <w:rFonts w:ascii="Arial" w:hAnsi="Arial" w:cs="Arial"/>
          <w:color w:val="000000"/>
        </w:rPr>
        <w:t xml:space="preserve"> 202</w:t>
      </w:r>
      <w:r w:rsidR="006537B2">
        <w:rPr>
          <w:rFonts w:ascii="Arial" w:hAnsi="Arial" w:cs="Arial"/>
          <w:color w:val="000000"/>
        </w:rPr>
        <w:t>3</w:t>
      </w:r>
    </w:p>
    <w:p w14:paraId="69EAC8C0" w14:textId="77777777" w:rsidR="00944A74" w:rsidRPr="008D3D44" w:rsidRDefault="00944A74" w:rsidP="00944A74">
      <w:pPr>
        <w:widowControl w:val="0"/>
        <w:autoSpaceDE w:val="0"/>
        <w:autoSpaceDN w:val="0"/>
        <w:adjustRightInd w:val="0"/>
        <w:rPr>
          <w:rFonts w:ascii="Arial" w:hAnsi="Arial" w:cs="Arial"/>
          <w:color w:val="000000"/>
          <w:sz w:val="20"/>
          <w:szCs w:val="20"/>
        </w:rPr>
      </w:pPr>
    </w:p>
    <w:p w14:paraId="6F24652F" w14:textId="77777777" w:rsidR="00944A74" w:rsidRPr="008D3D44" w:rsidRDefault="00944A74" w:rsidP="00944A74">
      <w:pPr>
        <w:widowControl w:val="0"/>
        <w:autoSpaceDE w:val="0"/>
        <w:autoSpaceDN w:val="0"/>
        <w:adjustRightInd w:val="0"/>
        <w:rPr>
          <w:rFonts w:ascii="Arial" w:hAnsi="Arial" w:cs="Arial"/>
          <w:color w:val="000000"/>
          <w:sz w:val="20"/>
          <w:szCs w:val="20"/>
        </w:rPr>
      </w:pPr>
    </w:p>
    <w:p w14:paraId="624AAA71" w14:textId="77777777" w:rsidR="00944A74" w:rsidRPr="008D3D44" w:rsidRDefault="00944A74" w:rsidP="00944A74">
      <w:pPr>
        <w:widowControl w:val="0"/>
        <w:autoSpaceDE w:val="0"/>
        <w:autoSpaceDN w:val="0"/>
        <w:adjustRightInd w:val="0"/>
        <w:rPr>
          <w:rFonts w:ascii="Arial" w:hAnsi="Arial" w:cs="Arial"/>
          <w:color w:val="000000"/>
          <w:sz w:val="10"/>
          <w:szCs w:val="10"/>
        </w:rPr>
      </w:pPr>
    </w:p>
    <w:p w14:paraId="6579A051" w14:textId="77777777" w:rsidR="00944A74" w:rsidRPr="008D3D44" w:rsidRDefault="00944A74" w:rsidP="00944A74">
      <w:pPr>
        <w:widowControl w:val="0"/>
        <w:tabs>
          <w:tab w:val="left" w:pos="56"/>
          <w:tab w:val="left" w:pos="2688"/>
        </w:tabs>
        <w:autoSpaceDE w:val="0"/>
        <w:autoSpaceDN w:val="0"/>
        <w:adjustRightInd w:val="0"/>
        <w:rPr>
          <w:rFonts w:ascii="Arial" w:hAnsi="Arial" w:cs="Arial"/>
          <w:color w:val="000000"/>
        </w:rPr>
      </w:pPr>
      <w:r w:rsidRPr="008D3D44">
        <w:rPr>
          <w:rFonts w:ascii="Arial" w:hAnsi="Arial" w:cs="Arial"/>
        </w:rPr>
        <w:tab/>
      </w:r>
      <w:r w:rsidRPr="008D3D44">
        <w:rPr>
          <w:rFonts w:ascii="Arial" w:hAnsi="Arial" w:cs="Arial"/>
          <w:b/>
          <w:bCs/>
          <w:color w:val="000000"/>
        </w:rPr>
        <w:t xml:space="preserve">Année d'étude : </w:t>
      </w:r>
      <w:r w:rsidRPr="008D3D44">
        <w:rPr>
          <w:rFonts w:ascii="Arial" w:hAnsi="Arial" w:cs="Arial"/>
        </w:rPr>
        <w:tab/>
      </w:r>
      <w:r w:rsidR="00CF5AD9" w:rsidRPr="008D3D44">
        <w:rPr>
          <w:rFonts w:ascii="Arial" w:hAnsi="Arial" w:cs="Arial"/>
        </w:rPr>
        <w:t>Licence (3</w:t>
      </w:r>
      <w:r w:rsidR="00CF5AD9" w:rsidRPr="008D3D44">
        <w:rPr>
          <w:rFonts w:ascii="Arial" w:hAnsi="Arial" w:cs="Arial"/>
          <w:vertAlign w:val="superscript"/>
        </w:rPr>
        <w:t>ème</w:t>
      </w:r>
      <w:r w:rsidR="00CF5AD9" w:rsidRPr="008D3D44">
        <w:rPr>
          <w:rFonts w:ascii="Arial" w:hAnsi="Arial" w:cs="Arial"/>
        </w:rPr>
        <w:t xml:space="preserve"> année)</w:t>
      </w:r>
    </w:p>
    <w:p w14:paraId="06083984" w14:textId="77777777" w:rsidR="00944A74" w:rsidRPr="008D3D44" w:rsidRDefault="00944A74" w:rsidP="00944A74">
      <w:pPr>
        <w:widowControl w:val="0"/>
        <w:autoSpaceDE w:val="0"/>
        <w:autoSpaceDN w:val="0"/>
        <w:adjustRightInd w:val="0"/>
        <w:rPr>
          <w:rFonts w:ascii="Arial" w:hAnsi="Arial" w:cs="Arial"/>
          <w:color w:val="000000"/>
          <w:sz w:val="20"/>
          <w:szCs w:val="20"/>
        </w:rPr>
      </w:pPr>
    </w:p>
    <w:p w14:paraId="04933AA0" w14:textId="77777777" w:rsidR="00944A74" w:rsidRPr="008D3D44" w:rsidRDefault="00944A74" w:rsidP="00944A74">
      <w:pPr>
        <w:widowControl w:val="0"/>
        <w:autoSpaceDE w:val="0"/>
        <w:autoSpaceDN w:val="0"/>
        <w:adjustRightInd w:val="0"/>
        <w:rPr>
          <w:rFonts w:ascii="Arial" w:hAnsi="Arial" w:cs="Arial"/>
          <w:color w:val="000000"/>
          <w:sz w:val="20"/>
          <w:szCs w:val="20"/>
        </w:rPr>
      </w:pPr>
    </w:p>
    <w:p w14:paraId="1F3CAC0C" w14:textId="77777777" w:rsidR="00944A74" w:rsidRPr="008D3D44" w:rsidRDefault="00944A74" w:rsidP="00944A74">
      <w:pPr>
        <w:widowControl w:val="0"/>
        <w:autoSpaceDE w:val="0"/>
        <w:autoSpaceDN w:val="0"/>
        <w:adjustRightInd w:val="0"/>
        <w:rPr>
          <w:rFonts w:ascii="Arial" w:hAnsi="Arial" w:cs="Arial"/>
          <w:color w:val="000000"/>
          <w:sz w:val="12"/>
          <w:szCs w:val="12"/>
        </w:rPr>
      </w:pPr>
    </w:p>
    <w:p w14:paraId="75A10A5E" w14:textId="77777777" w:rsidR="00944A74" w:rsidRPr="008D3D44" w:rsidRDefault="00944A74" w:rsidP="00944A74">
      <w:pPr>
        <w:widowControl w:val="0"/>
        <w:tabs>
          <w:tab w:val="left" w:pos="56"/>
          <w:tab w:val="left" w:pos="2688"/>
        </w:tabs>
        <w:autoSpaceDE w:val="0"/>
        <w:autoSpaceDN w:val="0"/>
        <w:adjustRightInd w:val="0"/>
        <w:rPr>
          <w:rFonts w:ascii="Arial" w:hAnsi="Arial" w:cs="Arial"/>
          <w:b/>
          <w:bCs/>
          <w:i/>
          <w:iCs/>
          <w:color w:val="000000"/>
        </w:rPr>
      </w:pPr>
      <w:r w:rsidRPr="008D3D44">
        <w:rPr>
          <w:rFonts w:ascii="Arial" w:hAnsi="Arial" w:cs="Arial"/>
        </w:rPr>
        <w:tab/>
      </w:r>
      <w:r w:rsidRPr="008D3D44">
        <w:rPr>
          <w:rFonts w:ascii="Arial" w:hAnsi="Arial" w:cs="Arial"/>
          <w:b/>
          <w:bCs/>
          <w:color w:val="000000"/>
        </w:rPr>
        <w:t xml:space="preserve">Discipline : </w:t>
      </w:r>
      <w:r w:rsidRPr="008D3D44">
        <w:rPr>
          <w:rFonts w:ascii="Arial" w:hAnsi="Arial" w:cs="Arial"/>
        </w:rPr>
        <w:tab/>
      </w:r>
      <w:r w:rsidR="00CF5AD9" w:rsidRPr="008D3D44">
        <w:rPr>
          <w:rFonts w:ascii="Arial" w:hAnsi="Arial" w:cs="Arial"/>
        </w:rPr>
        <w:t>Droit international public I</w:t>
      </w:r>
    </w:p>
    <w:p w14:paraId="3E17B953" w14:textId="77777777" w:rsidR="00944A74" w:rsidRPr="008D3D44" w:rsidRDefault="00944A74" w:rsidP="00944A74">
      <w:pPr>
        <w:widowControl w:val="0"/>
        <w:autoSpaceDE w:val="0"/>
        <w:autoSpaceDN w:val="0"/>
        <w:adjustRightInd w:val="0"/>
        <w:rPr>
          <w:rFonts w:ascii="Arial" w:hAnsi="Arial" w:cs="Arial"/>
          <w:b/>
          <w:bCs/>
          <w:i/>
          <w:iCs/>
          <w:color w:val="000000"/>
          <w:sz w:val="8"/>
          <w:szCs w:val="8"/>
        </w:rPr>
      </w:pPr>
    </w:p>
    <w:p w14:paraId="2F2D84B0" w14:textId="77777777" w:rsidR="00CD2095" w:rsidRPr="008D3D44" w:rsidRDefault="00CD2095" w:rsidP="00CD2095">
      <w:pPr>
        <w:widowControl w:val="0"/>
        <w:tabs>
          <w:tab w:val="left" w:pos="2688"/>
        </w:tabs>
        <w:autoSpaceDE w:val="0"/>
        <w:autoSpaceDN w:val="0"/>
        <w:adjustRightInd w:val="0"/>
        <w:rPr>
          <w:rFonts w:ascii="Arial" w:hAnsi="Arial" w:cs="Arial"/>
          <w:color w:val="000000"/>
          <w:sz w:val="20"/>
          <w:szCs w:val="20"/>
        </w:rPr>
      </w:pPr>
      <w:r w:rsidRPr="008D3D44">
        <w:rPr>
          <w:rFonts w:ascii="Arial" w:hAnsi="Arial" w:cs="Arial"/>
          <w:sz w:val="20"/>
          <w:szCs w:val="20"/>
        </w:rPr>
        <w:tab/>
        <w:t xml:space="preserve">(Unités d’Enseignements </w:t>
      </w:r>
      <w:r w:rsidR="003B417D" w:rsidRPr="008D3D44">
        <w:rPr>
          <w:rFonts w:ascii="Arial" w:hAnsi="Arial" w:cs="Arial"/>
          <w:sz w:val="20"/>
          <w:szCs w:val="20"/>
        </w:rPr>
        <w:t>Fondamentaux</w:t>
      </w:r>
      <w:r w:rsidR="007E7823" w:rsidRPr="008D3D44">
        <w:rPr>
          <w:rFonts w:ascii="Arial" w:hAnsi="Arial" w:cs="Arial"/>
          <w:sz w:val="20"/>
          <w:szCs w:val="20"/>
        </w:rPr>
        <w:t xml:space="preserve"> 1</w:t>
      </w:r>
      <w:r w:rsidRPr="008D3D44">
        <w:rPr>
          <w:rFonts w:ascii="Arial" w:hAnsi="Arial" w:cs="Arial"/>
          <w:sz w:val="20"/>
          <w:szCs w:val="20"/>
        </w:rPr>
        <w:t>)</w:t>
      </w:r>
    </w:p>
    <w:p w14:paraId="00481E1F" w14:textId="77777777" w:rsidR="00944A74" w:rsidRPr="008D3D44" w:rsidRDefault="00944A74" w:rsidP="00944A74">
      <w:pPr>
        <w:widowControl w:val="0"/>
        <w:tabs>
          <w:tab w:val="left" w:pos="2688"/>
        </w:tabs>
        <w:autoSpaceDE w:val="0"/>
        <w:autoSpaceDN w:val="0"/>
        <w:adjustRightInd w:val="0"/>
        <w:rPr>
          <w:rFonts w:ascii="Arial" w:hAnsi="Arial" w:cs="Arial"/>
          <w:color w:val="000000"/>
          <w:sz w:val="16"/>
          <w:szCs w:val="16"/>
        </w:rPr>
      </w:pPr>
    </w:p>
    <w:p w14:paraId="69B837FE" w14:textId="77777777" w:rsidR="00944A74" w:rsidRPr="008D3D44" w:rsidRDefault="00944A74" w:rsidP="00944A74">
      <w:pPr>
        <w:widowControl w:val="0"/>
        <w:autoSpaceDE w:val="0"/>
        <w:autoSpaceDN w:val="0"/>
        <w:adjustRightInd w:val="0"/>
        <w:rPr>
          <w:rFonts w:ascii="Arial" w:hAnsi="Arial" w:cs="Arial"/>
          <w:color w:val="000000"/>
          <w:sz w:val="20"/>
          <w:szCs w:val="20"/>
        </w:rPr>
      </w:pPr>
    </w:p>
    <w:p w14:paraId="5B48F5F9" w14:textId="77777777" w:rsidR="00944A74" w:rsidRPr="008D3D44" w:rsidRDefault="00944A74" w:rsidP="00944A74">
      <w:pPr>
        <w:widowControl w:val="0"/>
        <w:autoSpaceDE w:val="0"/>
        <w:autoSpaceDN w:val="0"/>
        <w:adjustRightInd w:val="0"/>
        <w:rPr>
          <w:rFonts w:ascii="Arial" w:hAnsi="Arial" w:cs="Arial"/>
          <w:color w:val="000000"/>
          <w:sz w:val="15"/>
          <w:szCs w:val="15"/>
        </w:rPr>
      </w:pPr>
    </w:p>
    <w:p w14:paraId="19112C7F" w14:textId="77777777" w:rsidR="00944A74" w:rsidRPr="008D3D44" w:rsidRDefault="00944A74" w:rsidP="006E78FF">
      <w:pPr>
        <w:widowControl w:val="0"/>
        <w:tabs>
          <w:tab w:val="left" w:pos="56"/>
          <w:tab w:val="left" w:pos="2694"/>
        </w:tabs>
        <w:autoSpaceDE w:val="0"/>
        <w:autoSpaceDN w:val="0"/>
        <w:adjustRightInd w:val="0"/>
        <w:rPr>
          <w:rFonts w:ascii="Arial" w:hAnsi="Arial" w:cs="Arial"/>
          <w:b/>
          <w:bCs/>
          <w:color w:val="000000"/>
        </w:rPr>
      </w:pPr>
      <w:r w:rsidRPr="008D3D44">
        <w:rPr>
          <w:rFonts w:ascii="Arial" w:hAnsi="Arial" w:cs="Arial"/>
          <w:b/>
          <w:bCs/>
          <w:color w:val="000000"/>
        </w:rPr>
        <w:t xml:space="preserve">Titulaire(s) du cours : </w:t>
      </w:r>
      <w:r w:rsidR="006E78FF" w:rsidRPr="008D3D44">
        <w:rPr>
          <w:rFonts w:ascii="Arial" w:hAnsi="Arial" w:cs="Arial"/>
          <w:b/>
          <w:bCs/>
          <w:color w:val="000000"/>
        </w:rPr>
        <w:tab/>
      </w:r>
      <w:r w:rsidR="00CF5AD9" w:rsidRPr="008D3D44">
        <w:rPr>
          <w:rFonts w:ascii="Arial" w:hAnsi="Arial" w:cs="Arial"/>
          <w:bCs/>
          <w:color w:val="000000"/>
        </w:rPr>
        <w:t>Pr D. Alland</w:t>
      </w:r>
    </w:p>
    <w:p w14:paraId="42E4D236" w14:textId="77777777" w:rsidR="00944A74" w:rsidRPr="008D3D44" w:rsidRDefault="00944A74" w:rsidP="00944A74">
      <w:pPr>
        <w:widowControl w:val="0"/>
        <w:autoSpaceDE w:val="0"/>
        <w:autoSpaceDN w:val="0"/>
        <w:adjustRightInd w:val="0"/>
        <w:rPr>
          <w:rFonts w:ascii="Arial" w:hAnsi="Arial" w:cs="Arial"/>
          <w:b/>
          <w:bCs/>
          <w:color w:val="000000"/>
          <w:sz w:val="10"/>
          <w:szCs w:val="10"/>
        </w:rPr>
      </w:pPr>
    </w:p>
    <w:p w14:paraId="5F6145CB" w14:textId="77777777" w:rsidR="00944A74" w:rsidRPr="008D3D44" w:rsidRDefault="00944A74" w:rsidP="00944A74">
      <w:pPr>
        <w:widowControl w:val="0"/>
        <w:tabs>
          <w:tab w:val="left" w:pos="2509"/>
        </w:tabs>
        <w:autoSpaceDE w:val="0"/>
        <w:autoSpaceDN w:val="0"/>
        <w:adjustRightInd w:val="0"/>
        <w:rPr>
          <w:rFonts w:ascii="Arial" w:hAnsi="Arial" w:cs="Arial"/>
          <w:color w:val="000000"/>
        </w:rPr>
      </w:pPr>
      <w:r w:rsidRPr="008D3D44">
        <w:rPr>
          <w:rFonts w:ascii="Arial" w:hAnsi="Arial" w:cs="Arial"/>
        </w:rPr>
        <w:tab/>
      </w:r>
    </w:p>
    <w:p w14:paraId="31BF7754" w14:textId="77777777" w:rsidR="00944A74" w:rsidRPr="008D3D44" w:rsidRDefault="00944A74" w:rsidP="00944A74">
      <w:pPr>
        <w:widowControl w:val="0"/>
        <w:autoSpaceDE w:val="0"/>
        <w:autoSpaceDN w:val="0"/>
        <w:adjustRightInd w:val="0"/>
        <w:rPr>
          <w:rFonts w:ascii="Arial" w:hAnsi="Arial" w:cs="Arial"/>
          <w:color w:val="000000"/>
          <w:sz w:val="20"/>
          <w:szCs w:val="20"/>
        </w:rPr>
      </w:pPr>
    </w:p>
    <w:p w14:paraId="1951B1A7" w14:textId="77777777" w:rsidR="00110FE2" w:rsidRPr="008D3D44" w:rsidRDefault="00110FE2" w:rsidP="006E78FF">
      <w:pPr>
        <w:widowControl w:val="0"/>
        <w:tabs>
          <w:tab w:val="left" w:pos="56"/>
          <w:tab w:val="left" w:pos="2694"/>
        </w:tabs>
        <w:autoSpaceDE w:val="0"/>
        <w:autoSpaceDN w:val="0"/>
        <w:adjustRightInd w:val="0"/>
        <w:rPr>
          <w:rFonts w:ascii="Arial" w:hAnsi="Arial" w:cs="Arial"/>
          <w:b/>
        </w:rPr>
      </w:pPr>
      <w:r w:rsidRPr="008D3D44">
        <w:rPr>
          <w:rFonts w:ascii="Arial" w:hAnsi="Arial" w:cs="Arial"/>
          <w:b/>
        </w:rPr>
        <w:t xml:space="preserve">Durée de l’épreuve : </w:t>
      </w:r>
      <w:r w:rsidR="006E78FF" w:rsidRPr="008D3D44">
        <w:rPr>
          <w:rFonts w:ascii="Arial" w:hAnsi="Arial" w:cs="Arial"/>
          <w:b/>
        </w:rPr>
        <w:tab/>
      </w:r>
      <w:r w:rsidR="00CF5AD9" w:rsidRPr="008D3D44">
        <w:rPr>
          <w:rFonts w:ascii="Arial" w:hAnsi="Arial" w:cs="Arial"/>
        </w:rPr>
        <w:t>3 heures</w:t>
      </w:r>
    </w:p>
    <w:p w14:paraId="6E1908DD" w14:textId="77777777" w:rsidR="00110FE2" w:rsidRPr="008D3D44" w:rsidRDefault="00110FE2" w:rsidP="00944A74">
      <w:pPr>
        <w:widowControl w:val="0"/>
        <w:tabs>
          <w:tab w:val="left" w:pos="56"/>
        </w:tabs>
        <w:autoSpaceDE w:val="0"/>
        <w:autoSpaceDN w:val="0"/>
        <w:adjustRightInd w:val="0"/>
        <w:rPr>
          <w:rFonts w:ascii="Arial" w:hAnsi="Arial" w:cs="Arial"/>
        </w:rPr>
      </w:pPr>
    </w:p>
    <w:p w14:paraId="51760523" w14:textId="77777777" w:rsidR="00AE726E" w:rsidRPr="008D3D44" w:rsidRDefault="00AE726E" w:rsidP="00944A74">
      <w:pPr>
        <w:widowControl w:val="0"/>
        <w:tabs>
          <w:tab w:val="left" w:pos="56"/>
        </w:tabs>
        <w:autoSpaceDE w:val="0"/>
        <w:autoSpaceDN w:val="0"/>
        <w:adjustRightInd w:val="0"/>
        <w:rPr>
          <w:rFonts w:ascii="Arial" w:hAnsi="Arial" w:cs="Arial"/>
        </w:rPr>
      </w:pPr>
    </w:p>
    <w:p w14:paraId="37AFFD7C" w14:textId="77777777" w:rsidR="00944A74" w:rsidRPr="008D3D44" w:rsidRDefault="00944A74" w:rsidP="006B3613">
      <w:pPr>
        <w:widowControl w:val="0"/>
        <w:tabs>
          <w:tab w:val="left" w:pos="56"/>
        </w:tabs>
        <w:autoSpaceDE w:val="0"/>
        <w:autoSpaceDN w:val="0"/>
        <w:adjustRightInd w:val="0"/>
        <w:jc w:val="both"/>
        <w:rPr>
          <w:rFonts w:ascii="Arial" w:hAnsi="Arial" w:cs="Arial"/>
          <w:b/>
          <w:bCs/>
          <w:color w:val="000000"/>
        </w:rPr>
      </w:pPr>
      <w:r w:rsidRPr="008D3D44">
        <w:rPr>
          <w:rFonts w:ascii="Arial" w:hAnsi="Arial" w:cs="Arial"/>
          <w:b/>
          <w:bCs/>
          <w:color w:val="000000"/>
        </w:rPr>
        <w:t xml:space="preserve">Document autorisé : </w:t>
      </w:r>
      <w:r w:rsidR="00CF5AD9" w:rsidRPr="008D3D44">
        <w:rPr>
          <w:rFonts w:ascii="Arial" w:hAnsi="Arial" w:cs="Arial"/>
          <w:bCs/>
          <w:color w:val="000000"/>
        </w:rPr>
        <w:t>D. Alland,</w:t>
      </w:r>
      <w:r w:rsidR="00CF5AD9" w:rsidRPr="008D3D44">
        <w:rPr>
          <w:rFonts w:ascii="Arial" w:hAnsi="Arial" w:cs="Arial"/>
          <w:b/>
          <w:bCs/>
          <w:color w:val="000000"/>
        </w:rPr>
        <w:t xml:space="preserve"> </w:t>
      </w:r>
      <w:r w:rsidR="00CF5AD9" w:rsidRPr="008D3D44">
        <w:rPr>
          <w:rFonts w:ascii="Arial" w:hAnsi="Arial" w:cs="Arial"/>
          <w:bCs/>
          <w:i/>
          <w:color w:val="000000"/>
        </w:rPr>
        <w:t>Manuel de droit international public</w:t>
      </w:r>
      <w:r w:rsidR="00CF5AD9" w:rsidRPr="008D3D44">
        <w:rPr>
          <w:rFonts w:ascii="Arial" w:hAnsi="Arial" w:cs="Arial"/>
          <w:bCs/>
          <w:color w:val="000000"/>
        </w:rPr>
        <w:t>, PUF, 202</w:t>
      </w:r>
      <w:r w:rsidR="006537B2">
        <w:rPr>
          <w:rFonts w:ascii="Arial" w:hAnsi="Arial" w:cs="Arial"/>
          <w:bCs/>
          <w:color w:val="000000"/>
        </w:rPr>
        <w:t>2</w:t>
      </w:r>
      <w:r w:rsidR="00CF5AD9" w:rsidRPr="008D3D44">
        <w:rPr>
          <w:rFonts w:ascii="Arial" w:hAnsi="Arial" w:cs="Arial"/>
          <w:bCs/>
          <w:color w:val="000000"/>
        </w:rPr>
        <w:t xml:space="preserve"> - </w:t>
      </w:r>
      <w:r w:rsidR="00CF5AD9" w:rsidRPr="008D3D44">
        <w:rPr>
          <w:rFonts w:ascii="Arial" w:hAnsi="Arial" w:cs="Arial"/>
        </w:rPr>
        <w:t>Les surlignages et post-it dans ce livre sont autorisés.</w:t>
      </w:r>
    </w:p>
    <w:p w14:paraId="759C5BDB" w14:textId="77777777" w:rsidR="00C62AB8" w:rsidRPr="008D3D44" w:rsidRDefault="00C62AB8" w:rsidP="00C62AB8">
      <w:pPr>
        <w:rPr>
          <w:rFonts w:ascii="Arial" w:hAnsi="Arial" w:cs="Arial"/>
        </w:rPr>
      </w:pPr>
    </w:p>
    <w:p w14:paraId="0A7CCA49" w14:textId="79C9844C" w:rsidR="00BC158A" w:rsidRPr="00FC6AD9" w:rsidRDefault="00FC6AD9" w:rsidP="00FC6AD9">
      <w:pPr>
        <w:widowControl w:val="0"/>
        <w:autoSpaceDE w:val="0"/>
        <w:autoSpaceDN w:val="0"/>
        <w:adjustRightInd w:val="0"/>
        <w:ind w:right="-290"/>
        <w:jc w:val="center"/>
        <w:rPr>
          <w:rFonts w:ascii="Arial" w:hAnsi="Arial" w:cs="Arial"/>
          <w:bCs/>
          <w:i/>
          <w:sz w:val="22"/>
          <w:szCs w:val="22"/>
        </w:rPr>
      </w:pPr>
      <w:r w:rsidRPr="00FC6AD9">
        <w:rPr>
          <w:rFonts w:ascii="Arial" w:hAnsi="Arial" w:cs="Arial"/>
          <w:bCs/>
          <w:i/>
          <w:sz w:val="22"/>
          <w:szCs w:val="22"/>
        </w:rPr>
        <w:t>Ce sujet comporte 5 pages. Avant de composer, veuillez vérifier que votre sujet est complet.</w:t>
      </w:r>
    </w:p>
    <w:p w14:paraId="70691162" w14:textId="0486FFFB" w:rsidR="00BC158A" w:rsidRDefault="00BC158A" w:rsidP="00CF5AD9">
      <w:pPr>
        <w:widowControl w:val="0"/>
        <w:autoSpaceDE w:val="0"/>
        <w:autoSpaceDN w:val="0"/>
        <w:adjustRightInd w:val="0"/>
        <w:ind w:right="-290"/>
        <w:rPr>
          <w:rFonts w:ascii="Arial" w:hAnsi="Arial" w:cs="Arial"/>
          <w:b/>
          <w:bCs/>
          <w:i/>
          <w:szCs w:val="26"/>
        </w:rPr>
      </w:pPr>
    </w:p>
    <w:p w14:paraId="4A16F263" w14:textId="015F0A78" w:rsidR="00707662" w:rsidRDefault="00707662" w:rsidP="00707662">
      <w:pPr>
        <w:widowControl w:val="0"/>
        <w:autoSpaceDE w:val="0"/>
        <w:autoSpaceDN w:val="0"/>
        <w:adjustRightInd w:val="0"/>
        <w:ind w:right="-290"/>
        <w:jc w:val="center"/>
        <w:rPr>
          <w:rFonts w:ascii="Arial" w:hAnsi="Arial" w:cs="Arial"/>
          <w:b/>
          <w:bCs/>
          <w:i/>
          <w:szCs w:val="26"/>
        </w:rPr>
      </w:pPr>
      <w:r>
        <w:rPr>
          <w:rFonts w:ascii="Arial" w:hAnsi="Arial" w:cs="Arial"/>
          <w:b/>
          <w:bCs/>
          <w:i/>
          <w:szCs w:val="26"/>
        </w:rPr>
        <w:t>***</w:t>
      </w:r>
    </w:p>
    <w:p w14:paraId="3655E1DD" w14:textId="77777777" w:rsidR="00707662" w:rsidRDefault="00707662" w:rsidP="00CF5AD9">
      <w:pPr>
        <w:widowControl w:val="0"/>
        <w:autoSpaceDE w:val="0"/>
        <w:autoSpaceDN w:val="0"/>
        <w:adjustRightInd w:val="0"/>
        <w:ind w:right="-290"/>
        <w:rPr>
          <w:rFonts w:ascii="Arial" w:hAnsi="Arial" w:cs="Arial"/>
          <w:b/>
          <w:bCs/>
          <w:i/>
          <w:szCs w:val="26"/>
        </w:rPr>
      </w:pPr>
    </w:p>
    <w:p w14:paraId="09CCC5A8" w14:textId="37A454CC" w:rsidR="00CF5AD9" w:rsidRPr="008D3D44" w:rsidRDefault="00CF5AD9" w:rsidP="00CF5AD9">
      <w:pPr>
        <w:widowControl w:val="0"/>
        <w:autoSpaceDE w:val="0"/>
        <w:autoSpaceDN w:val="0"/>
        <w:adjustRightInd w:val="0"/>
        <w:ind w:right="-290"/>
        <w:rPr>
          <w:rFonts w:ascii="Arial" w:hAnsi="Arial" w:cs="Arial"/>
          <w:b/>
          <w:bCs/>
          <w:i/>
          <w:szCs w:val="26"/>
        </w:rPr>
      </w:pPr>
      <w:r w:rsidRPr="008D3D44">
        <w:rPr>
          <w:rFonts w:ascii="Arial" w:hAnsi="Arial" w:cs="Arial"/>
          <w:b/>
          <w:bCs/>
          <w:i/>
          <w:szCs w:val="26"/>
        </w:rPr>
        <w:t xml:space="preserve">Traitez </w:t>
      </w:r>
      <w:r w:rsidRPr="008D3D44">
        <w:rPr>
          <w:rFonts w:ascii="Arial" w:hAnsi="Arial" w:cs="Arial"/>
          <w:b/>
          <w:bCs/>
          <w:i/>
          <w:szCs w:val="26"/>
          <w:u w:val="single"/>
        </w:rPr>
        <w:t>au choix l’un des deux</w:t>
      </w:r>
      <w:r w:rsidRPr="008D3D44">
        <w:rPr>
          <w:rFonts w:ascii="Arial" w:hAnsi="Arial" w:cs="Arial"/>
          <w:b/>
          <w:bCs/>
          <w:i/>
          <w:szCs w:val="26"/>
        </w:rPr>
        <w:t xml:space="preserve"> sujets suivants : </w:t>
      </w:r>
    </w:p>
    <w:p w14:paraId="0FC7649F" w14:textId="77777777" w:rsidR="00CF5AD9" w:rsidRPr="008D3D44" w:rsidRDefault="00CF5AD9" w:rsidP="00CF5AD9">
      <w:pPr>
        <w:widowControl w:val="0"/>
        <w:autoSpaceDE w:val="0"/>
        <w:autoSpaceDN w:val="0"/>
        <w:adjustRightInd w:val="0"/>
        <w:ind w:left="284" w:right="-290"/>
        <w:rPr>
          <w:rFonts w:ascii="Arial" w:hAnsi="Arial" w:cs="Arial"/>
          <w:b/>
          <w:bCs/>
          <w:i/>
          <w:szCs w:val="26"/>
        </w:rPr>
      </w:pPr>
    </w:p>
    <w:p w14:paraId="6F6BF024" w14:textId="77777777" w:rsidR="00CF5AD9" w:rsidRPr="008D3D44" w:rsidRDefault="00CF5AD9" w:rsidP="00CF5AD9">
      <w:pPr>
        <w:rPr>
          <w:rFonts w:ascii="Arial" w:hAnsi="Arial" w:cs="Arial"/>
          <w:b/>
          <w:u w:val="single"/>
        </w:rPr>
      </w:pPr>
      <w:r w:rsidRPr="008D3D44">
        <w:rPr>
          <w:rFonts w:ascii="Arial" w:hAnsi="Arial" w:cs="Arial"/>
          <w:b/>
          <w:u w:val="single"/>
        </w:rPr>
        <w:t>Sujet n° 1 – Théorique</w:t>
      </w:r>
    </w:p>
    <w:p w14:paraId="1AE880C1" w14:textId="77777777" w:rsidR="00CF5AD9" w:rsidRPr="008D3D44" w:rsidRDefault="00CF5AD9" w:rsidP="00CF5AD9">
      <w:pPr>
        <w:rPr>
          <w:rFonts w:ascii="Arial" w:hAnsi="Arial" w:cs="Arial"/>
          <w:b/>
          <w:u w:val="single"/>
        </w:rPr>
      </w:pPr>
    </w:p>
    <w:p w14:paraId="64A02056" w14:textId="6883EDB2" w:rsidR="00CF5AD9" w:rsidRPr="00BC2842" w:rsidRDefault="00BC2842" w:rsidP="00BC2842">
      <w:pPr>
        <w:jc w:val="both"/>
        <w:rPr>
          <w:rFonts w:ascii="Arial" w:hAnsi="Arial" w:cs="Arial"/>
        </w:rPr>
      </w:pPr>
      <w:r>
        <w:rPr>
          <w:rFonts w:ascii="Arial" w:hAnsi="Arial" w:cs="Arial"/>
          <w:i/>
        </w:rPr>
        <w:t xml:space="preserve">L’affirmation selon laquelle </w:t>
      </w:r>
      <w:r>
        <w:rPr>
          <w:rFonts w:ascii="Arial" w:hAnsi="Arial" w:cs="Arial"/>
        </w:rPr>
        <w:t xml:space="preserve">« on ne saurait conclure du seul contrôle exercé par un Etat sur son territoire terrestre ou sur ses eaux territoriales que cet Etat a nécessairement connu ou dû connaître tout fait illicite international qui y a été perpétré non plus qu’il a nécessairement connu ou dû connaître ses auteurs » </w:t>
      </w:r>
      <w:r>
        <w:rPr>
          <w:rFonts w:ascii="Arial" w:hAnsi="Arial" w:cs="Arial"/>
          <w:i/>
        </w:rPr>
        <w:t xml:space="preserve"> vous paraît-elle refléter l’état</w:t>
      </w:r>
      <w:r w:rsidR="004011DC">
        <w:rPr>
          <w:rFonts w:ascii="Arial" w:hAnsi="Arial" w:cs="Arial"/>
          <w:i/>
        </w:rPr>
        <w:t xml:space="preserve"> actuel</w:t>
      </w:r>
      <w:r>
        <w:rPr>
          <w:rFonts w:ascii="Arial" w:hAnsi="Arial" w:cs="Arial"/>
          <w:i/>
        </w:rPr>
        <w:t xml:space="preserve"> du droit international positif ?</w:t>
      </w:r>
    </w:p>
    <w:p w14:paraId="6E05743B" w14:textId="77777777" w:rsidR="00BC158A" w:rsidRDefault="00BC158A" w:rsidP="00CF5AD9">
      <w:pPr>
        <w:rPr>
          <w:rFonts w:ascii="Arial" w:hAnsi="Arial" w:cs="Arial"/>
          <w:b/>
          <w:u w:val="single"/>
        </w:rPr>
      </w:pPr>
    </w:p>
    <w:p w14:paraId="6248F856" w14:textId="77777777" w:rsidR="00CF5AD9" w:rsidRDefault="00CF5AD9" w:rsidP="00CF5AD9">
      <w:pPr>
        <w:rPr>
          <w:rFonts w:ascii="Arial" w:hAnsi="Arial" w:cs="Arial"/>
          <w:b/>
          <w:u w:val="single"/>
        </w:rPr>
      </w:pPr>
      <w:r w:rsidRPr="008D3D44">
        <w:rPr>
          <w:rFonts w:ascii="Arial" w:hAnsi="Arial" w:cs="Arial"/>
          <w:b/>
          <w:u w:val="single"/>
        </w:rPr>
        <w:t xml:space="preserve">Sujet n° 2 </w:t>
      </w:r>
      <w:r w:rsidR="006537B2">
        <w:rPr>
          <w:rFonts w:ascii="Arial" w:hAnsi="Arial" w:cs="Arial"/>
          <w:b/>
          <w:u w:val="single"/>
        </w:rPr>
        <w:t>–</w:t>
      </w:r>
      <w:r w:rsidRPr="008D3D44">
        <w:rPr>
          <w:rFonts w:ascii="Arial" w:hAnsi="Arial" w:cs="Arial"/>
          <w:b/>
          <w:u w:val="single"/>
        </w:rPr>
        <w:t xml:space="preserve"> Pratique</w:t>
      </w:r>
    </w:p>
    <w:p w14:paraId="246BF3A7" w14:textId="77777777" w:rsidR="006537B2" w:rsidRDefault="006537B2" w:rsidP="00CF5AD9">
      <w:pPr>
        <w:rPr>
          <w:rFonts w:ascii="Arial" w:hAnsi="Arial" w:cs="Arial"/>
        </w:rPr>
      </w:pPr>
    </w:p>
    <w:p w14:paraId="5C6F2389" w14:textId="77777777" w:rsidR="00885A01" w:rsidRPr="00885A01" w:rsidRDefault="00885A01" w:rsidP="00CF5AD9">
      <w:pPr>
        <w:rPr>
          <w:rFonts w:ascii="Arial" w:hAnsi="Arial" w:cs="Arial"/>
          <w:i/>
        </w:rPr>
      </w:pPr>
      <w:r>
        <w:rPr>
          <w:rFonts w:ascii="Arial" w:hAnsi="Arial" w:cs="Arial"/>
          <w:i/>
        </w:rPr>
        <w:t xml:space="preserve">A l’aide des documents joints et de vos connaissances en la matière, établissez un </w:t>
      </w:r>
      <w:r w:rsidRPr="00885A01">
        <w:rPr>
          <w:rFonts w:ascii="Arial" w:hAnsi="Arial" w:cs="Arial"/>
          <w:i/>
          <w:u w:val="single"/>
        </w:rPr>
        <w:t>commentaire de l’arrêt</w:t>
      </w:r>
      <w:r>
        <w:rPr>
          <w:rFonts w:ascii="Arial" w:hAnsi="Arial" w:cs="Arial"/>
          <w:i/>
        </w:rPr>
        <w:t xml:space="preserve"> de la Cour de cassation de 2021 (Document n° 1) mettant en évidence les différents aspects de l’évolution des conceptions en matière d’immunité de juridiction</w:t>
      </w:r>
      <w:r w:rsidR="0065630A">
        <w:rPr>
          <w:rFonts w:ascii="Arial" w:hAnsi="Arial" w:cs="Arial"/>
          <w:i/>
        </w:rPr>
        <w:t>.</w:t>
      </w:r>
    </w:p>
    <w:p w14:paraId="2EB31EC1" w14:textId="5D414225" w:rsidR="009C5AFD" w:rsidRDefault="009C5AFD">
      <w:pPr>
        <w:spacing w:after="160" w:line="259" w:lineRule="auto"/>
        <w:rPr>
          <w:rFonts w:ascii="Arial" w:hAnsi="Arial" w:cs="Arial"/>
        </w:rPr>
      </w:pPr>
      <w:r>
        <w:rPr>
          <w:rFonts w:ascii="Arial" w:hAnsi="Arial" w:cs="Arial"/>
        </w:rPr>
        <w:br w:type="page"/>
      </w:r>
    </w:p>
    <w:p w14:paraId="28AF9FBE" w14:textId="3132009D" w:rsidR="006537B2" w:rsidRPr="002A7C4F" w:rsidRDefault="00885A01" w:rsidP="006537B2">
      <w:pPr>
        <w:pStyle w:val="Citationcours"/>
        <w:ind w:left="0" w:right="-432" w:firstLine="0"/>
        <w:jc w:val="center"/>
        <w:rPr>
          <w:rFonts w:ascii="Arial" w:hAnsi="Arial" w:cs="Arial"/>
          <w:b/>
          <w:bCs/>
          <w:sz w:val="22"/>
          <w:szCs w:val="22"/>
        </w:rPr>
      </w:pPr>
      <w:bookmarkStart w:id="0" w:name="_GoBack"/>
      <w:bookmarkEnd w:id="0"/>
      <w:r w:rsidRPr="002A7C4F">
        <w:rPr>
          <w:rFonts w:ascii="Arial" w:hAnsi="Arial" w:cs="Arial"/>
          <w:b/>
          <w:bCs/>
          <w:sz w:val="22"/>
          <w:szCs w:val="22"/>
        </w:rPr>
        <w:lastRenderedPageBreak/>
        <w:t xml:space="preserve">Document n° </w:t>
      </w:r>
      <w:r>
        <w:rPr>
          <w:rFonts w:ascii="Arial" w:hAnsi="Arial" w:cs="Arial"/>
          <w:b/>
          <w:bCs/>
          <w:sz w:val="22"/>
          <w:szCs w:val="22"/>
        </w:rPr>
        <w:t>1</w:t>
      </w:r>
      <w:r w:rsidRPr="002A7C4F">
        <w:rPr>
          <w:rFonts w:ascii="Arial" w:hAnsi="Arial" w:cs="Arial"/>
          <w:b/>
          <w:bCs/>
          <w:sz w:val="22"/>
          <w:szCs w:val="22"/>
        </w:rPr>
        <w:t xml:space="preserve"> -  </w:t>
      </w:r>
      <w:r w:rsidR="006537B2" w:rsidRPr="002A7C4F">
        <w:rPr>
          <w:rFonts w:ascii="Arial" w:hAnsi="Arial" w:cs="Arial"/>
          <w:b/>
          <w:bCs/>
          <w:sz w:val="22"/>
          <w:szCs w:val="22"/>
        </w:rPr>
        <w:t>Cass. civ. 1</w:t>
      </w:r>
      <w:r w:rsidR="006537B2" w:rsidRPr="002A7C4F">
        <w:rPr>
          <w:rFonts w:ascii="Arial" w:hAnsi="Arial" w:cs="Arial"/>
          <w:b/>
          <w:bCs/>
          <w:sz w:val="22"/>
          <w:szCs w:val="22"/>
          <w:vertAlign w:val="superscript"/>
        </w:rPr>
        <w:t>ère</w:t>
      </w:r>
      <w:r w:rsidR="006537B2" w:rsidRPr="002A7C4F">
        <w:rPr>
          <w:rFonts w:ascii="Arial" w:hAnsi="Arial" w:cs="Arial"/>
          <w:b/>
          <w:bCs/>
          <w:sz w:val="22"/>
          <w:szCs w:val="22"/>
        </w:rPr>
        <w:t>, 3 novembre 2021</w:t>
      </w:r>
      <w:r w:rsidR="0021699C">
        <w:rPr>
          <w:rFonts w:ascii="Arial" w:hAnsi="Arial" w:cs="Arial"/>
          <w:b/>
          <w:bCs/>
          <w:sz w:val="22"/>
          <w:szCs w:val="22"/>
        </w:rPr>
        <w:t xml:space="preserve"> </w:t>
      </w:r>
      <w:r w:rsidR="0021699C" w:rsidRPr="0021699C">
        <w:rPr>
          <w:rFonts w:ascii="Arial" w:hAnsi="Arial" w:cs="Arial"/>
          <w:b/>
          <w:bCs/>
          <w:i/>
          <w:sz w:val="22"/>
          <w:szCs w:val="22"/>
        </w:rPr>
        <w:t>Rasheed Bank</w:t>
      </w:r>
    </w:p>
    <w:p w14:paraId="748FF664" w14:textId="77777777" w:rsidR="006537B2" w:rsidRPr="002A7C4F" w:rsidRDefault="006537B2" w:rsidP="006537B2">
      <w:pPr>
        <w:pStyle w:val="Citationcours"/>
        <w:ind w:left="0" w:right="-432" w:firstLine="0"/>
        <w:jc w:val="center"/>
        <w:rPr>
          <w:rFonts w:ascii="Arial" w:hAnsi="Arial" w:cs="Arial"/>
          <w:b/>
          <w:bCs/>
          <w:sz w:val="22"/>
          <w:szCs w:val="22"/>
        </w:rPr>
      </w:pPr>
    </w:p>
    <w:p w14:paraId="51EC4746"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Sur le premier moyen, pris en ses quatrième à septième branches</w:t>
      </w:r>
    </w:p>
    <w:p w14:paraId="70772676"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Réponse de la Cour</w:t>
      </w:r>
    </w:p>
    <w:p w14:paraId="260B7B7F"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5. Selon le droit international coutumier, tel que reflété par l'article 19 de la Convention des Nations Unies du 2 décembre 2004 sur l'immunité juridictionnelle des États et de leurs biens, à défaut de renonciation à l'immunité d'exécution, ou d'affectation des biens saisis à la satisfaction de la demande, les biens d'un État étranger ou de ses émanations ne peuvent faire l'objet d'une mesure d'exécution forcée, en vertu d'un jugement ou d'une sentence arbitrale, que s'il est établi que ces biens, situés sur le territoire de l'Etat du for, sont spécifiquement utilisés ou destinés à être utilisés autrement qu'à des fins de service public non commerciales et ont un lien avec l'entité contre laquelle la procédure a été intentée.</w:t>
      </w:r>
    </w:p>
    <w:p w14:paraId="218D9014" w14:textId="77777777" w:rsidR="00136B1A" w:rsidRDefault="00136B1A" w:rsidP="006537B2">
      <w:pPr>
        <w:jc w:val="both"/>
        <w:rPr>
          <w:rFonts w:ascii="Arial" w:hAnsi="Arial" w:cs="Arial"/>
          <w:bCs/>
          <w:sz w:val="22"/>
          <w:szCs w:val="22"/>
        </w:rPr>
      </w:pPr>
    </w:p>
    <w:p w14:paraId="4EDD1A0B"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6. La cour d'appel a énoncé à bon droit qu'il résulte du droit international coutumier, tel que reflété par la Convention précitée, qu'il n'est pas nécessaire, pour qu'ils soient saisissables, que les biens de l'émanation d'un Etat aient un lien avec la demande en justice, mais que ceux-ci doivent avoir un lien avec l'entité contre laquelle la procédure est intentée.</w:t>
      </w:r>
    </w:p>
    <w:p w14:paraId="133CFC7A" w14:textId="77777777" w:rsidR="00136B1A" w:rsidRDefault="00136B1A" w:rsidP="006537B2">
      <w:pPr>
        <w:jc w:val="both"/>
        <w:rPr>
          <w:rFonts w:ascii="Arial" w:hAnsi="Arial" w:cs="Arial"/>
          <w:bCs/>
          <w:sz w:val="22"/>
          <w:szCs w:val="22"/>
        </w:rPr>
      </w:pPr>
    </w:p>
    <w:p w14:paraId="25AE9E0D"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7. Par ces seuls motifs, abstraction faite de ceux, surabondants, critiqués par les cinquième à septième branches du moyen, la cour d'appel a légalement justifié sa décision de ce chef.</w:t>
      </w:r>
    </w:p>
    <w:p w14:paraId="36F2285F" w14:textId="77777777" w:rsidR="006537B2" w:rsidRPr="002A7C4F" w:rsidRDefault="006537B2" w:rsidP="006537B2">
      <w:pPr>
        <w:jc w:val="both"/>
        <w:rPr>
          <w:rFonts w:ascii="Arial" w:hAnsi="Arial" w:cs="Arial"/>
          <w:bCs/>
          <w:sz w:val="22"/>
          <w:szCs w:val="22"/>
        </w:rPr>
      </w:pPr>
    </w:p>
    <w:p w14:paraId="0303A194"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Sur le second moyen, pris en sa première branche</w:t>
      </w:r>
    </w:p>
    <w:p w14:paraId="3D5A4ECE"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Réponse de la Cour</w:t>
      </w:r>
    </w:p>
    <w:p w14:paraId="4C8E1CD7"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9. Selon le droit international coutumier, tel que reflété par la Convention des Nations Unies précitée, à défaut de renonciation à l'immunité d'exécution, ou d'affectation des biens saisis à la satisfaction de la demande qui fait l'objet de cette procédure, les biens d'un Etat étranger ou de ses émanations ne peuvent faire l'objet d'une mesure d'exécution forcée, en vertu d'un jugement ou d'une sentence arbitrale, que s'il est établi que ces biens sont spécifiquement utilisés ou destinés à être utilisés autrement qu'à des fins de service public non commerciales.</w:t>
      </w:r>
    </w:p>
    <w:p w14:paraId="02F53315" w14:textId="77777777" w:rsidR="006537B2" w:rsidRPr="002A7C4F" w:rsidRDefault="006537B2" w:rsidP="006537B2">
      <w:pPr>
        <w:jc w:val="both"/>
        <w:rPr>
          <w:rFonts w:ascii="Arial" w:hAnsi="Arial" w:cs="Arial"/>
          <w:bCs/>
          <w:sz w:val="22"/>
          <w:szCs w:val="22"/>
        </w:rPr>
      </w:pPr>
    </w:p>
    <w:p w14:paraId="13B57157"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10. Après avoir rappelé que l'insaisissabilité était de principe à l'égard des biens d'un État ou de ses émanations et qu'il incombait donc au créancier poursuivant de rapporter la preuve contraire, la cour d'appel a retenu que les fonds saisis avaient été déposés par la société Rasheed Bank sur un compte ouvert au titre de la constitution d'un gage-espèces, qu'il résultait d'une expertise financière que ce compte avait été constitué au milieu des années 1990, à une époque où il était constant que la société Rasheed Bank se présentait comme une banque indépendante de l'Etat irakien, réalisant des opérations commerciales courantes, ce qui constituait d'ailleurs toujours une partie de son activité, enfin que les mesures de gel des avoirs irakiens résultant des sanctions prononcés par l'ONU après le 6 août 1990 excluaient que les fonds déposés à titre de gage-espèces aient pu changer d'usage et que des mouvements aient pu ultérieurement affecter le compte litigieux.</w:t>
      </w:r>
    </w:p>
    <w:p w14:paraId="32C9DFBD" w14:textId="77777777" w:rsidR="00136B1A" w:rsidRDefault="00136B1A" w:rsidP="006537B2">
      <w:pPr>
        <w:jc w:val="both"/>
        <w:rPr>
          <w:rFonts w:ascii="Arial" w:hAnsi="Arial" w:cs="Arial"/>
          <w:bCs/>
          <w:sz w:val="22"/>
          <w:szCs w:val="22"/>
        </w:rPr>
      </w:pPr>
    </w:p>
    <w:p w14:paraId="05992AEF"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11. De ces constatations et appréciations, la cour d'appel a pu déduire, sans inverser la charge de la preuve, que l'actif saisi, instrument de garantie bancaire constitué à l'occasion d'opérations commerciales, était, par nature, destiné à être utilisé autrement qu'à des fins de service public non commerciales.</w:t>
      </w:r>
    </w:p>
    <w:p w14:paraId="6010BB0F" w14:textId="77777777" w:rsidR="00136B1A" w:rsidRDefault="00136B1A" w:rsidP="006537B2">
      <w:pPr>
        <w:jc w:val="both"/>
        <w:rPr>
          <w:rFonts w:ascii="Arial" w:hAnsi="Arial" w:cs="Arial"/>
          <w:bCs/>
          <w:sz w:val="22"/>
          <w:szCs w:val="22"/>
        </w:rPr>
      </w:pPr>
    </w:p>
    <w:p w14:paraId="7CE51D0A"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12. Le moyen, qui ajoute à la loi en exigeant la démonstration d'un élément intentionnel, n'est donc pas fondé.</w:t>
      </w:r>
    </w:p>
    <w:p w14:paraId="7C980CBA"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PAR CES MOTIFS, la Cour :</w:t>
      </w:r>
    </w:p>
    <w:p w14:paraId="702D44C3"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REJETTE le pourvoi.</w:t>
      </w:r>
    </w:p>
    <w:p w14:paraId="13B3DD29" w14:textId="77777777" w:rsidR="00944A74" w:rsidRPr="002A7C4F" w:rsidRDefault="00944A74" w:rsidP="00C62AB8">
      <w:pPr>
        <w:rPr>
          <w:rFonts w:ascii="Arial" w:hAnsi="Arial" w:cs="Arial"/>
          <w:sz w:val="22"/>
          <w:szCs w:val="22"/>
        </w:rPr>
      </w:pPr>
    </w:p>
    <w:p w14:paraId="76382C28" w14:textId="77777777" w:rsidR="00BC2842" w:rsidRDefault="00BC2842">
      <w:pPr>
        <w:spacing w:after="160" w:line="259" w:lineRule="auto"/>
        <w:rPr>
          <w:rFonts w:ascii="Arial" w:eastAsia="Times" w:hAnsi="Arial" w:cs="Arial"/>
          <w:b/>
          <w:bCs/>
          <w:sz w:val="22"/>
          <w:szCs w:val="22"/>
        </w:rPr>
      </w:pPr>
      <w:r>
        <w:rPr>
          <w:rFonts w:ascii="Arial" w:hAnsi="Arial" w:cs="Arial"/>
          <w:b/>
          <w:bCs/>
          <w:sz w:val="22"/>
          <w:szCs w:val="22"/>
        </w:rPr>
        <w:br w:type="page"/>
      </w:r>
    </w:p>
    <w:p w14:paraId="6402F88F" w14:textId="77777777" w:rsidR="006537B2" w:rsidRPr="002A7C4F" w:rsidRDefault="006537B2" w:rsidP="006537B2">
      <w:pPr>
        <w:pStyle w:val="Citationcours"/>
        <w:ind w:left="0" w:right="-432" w:firstLine="0"/>
        <w:jc w:val="center"/>
        <w:rPr>
          <w:rFonts w:ascii="Arial" w:hAnsi="Arial" w:cs="Arial"/>
          <w:b/>
          <w:bCs/>
          <w:sz w:val="22"/>
          <w:szCs w:val="22"/>
        </w:rPr>
      </w:pPr>
      <w:r w:rsidRPr="002A7C4F">
        <w:rPr>
          <w:rFonts w:ascii="Arial" w:hAnsi="Arial" w:cs="Arial"/>
          <w:b/>
          <w:bCs/>
          <w:sz w:val="22"/>
          <w:szCs w:val="22"/>
        </w:rPr>
        <w:lastRenderedPageBreak/>
        <w:t xml:space="preserve">Document n° </w:t>
      </w:r>
      <w:r w:rsidR="00885A01">
        <w:rPr>
          <w:rFonts w:ascii="Arial" w:hAnsi="Arial" w:cs="Arial"/>
          <w:b/>
          <w:bCs/>
          <w:sz w:val="22"/>
          <w:szCs w:val="22"/>
        </w:rPr>
        <w:t>2</w:t>
      </w:r>
      <w:r w:rsidRPr="002A7C4F">
        <w:rPr>
          <w:rFonts w:ascii="Arial" w:hAnsi="Arial" w:cs="Arial"/>
          <w:b/>
          <w:bCs/>
          <w:sz w:val="22"/>
          <w:szCs w:val="22"/>
        </w:rPr>
        <w:t xml:space="preserve"> -  Cass. Civ. 1</w:t>
      </w:r>
      <w:r w:rsidRPr="002A7C4F">
        <w:rPr>
          <w:rFonts w:ascii="Arial" w:hAnsi="Arial" w:cs="Arial"/>
          <w:b/>
          <w:bCs/>
          <w:sz w:val="22"/>
          <w:szCs w:val="22"/>
          <w:vertAlign w:val="superscript"/>
        </w:rPr>
        <w:t>ère</w:t>
      </w:r>
      <w:r w:rsidRPr="002A7C4F">
        <w:rPr>
          <w:rFonts w:ascii="Arial" w:hAnsi="Arial" w:cs="Arial"/>
          <w:b/>
          <w:bCs/>
          <w:sz w:val="22"/>
          <w:szCs w:val="22"/>
        </w:rPr>
        <w:t>, 1</w:t>
      </w:r>
      <w:r w:rsidRPr="002A7C4F">
        <w:rPr>
          <w:rFonts w:ascii="Arial" w:hAnsi="Arial" w:cs="Arial"/>
          <w:b/>
          <w:bCs/>
          <w:sz w:val="22"/>
          <w:szCs w:val="22"/>
          <w:vertAlign w:val="superscript"/>
        </w:rPr>
        <w:t>er</w:t>
      </w:r>
      <w:r w:rsidRPr="002A7C4F">
        <w:rPr>
          <w:rFonts w:ascii="Arial" w:hAnsi="Arial" w:cs="Arial"/>
          <w:b/>
          <w:bCs/>
          <w:sz w:val="22"/>
          <w:szCs w:val="22"/>
        </w:rPr>
        <w:t xml:space="preserve"> octobre 1985, n° 84-13.605, </w:t>
      </w:r>
      <w:r w:rsidRPr="002A7C4F">
        <w:rPr>
          <w:rFonts w:ascii="Arial" w:hAnsi="Arial" w:cs="Arial"/>
          <w:b/>
          <w:bCs/>
          <w:i/>
          <w:iCs/>
          <w:sz w:val="22"/>
          <w:szCs w:val="22"/>
        </w:rPr>
        <w:t>Sonatrach</w:t>
      </w:r>
    </w:p>
    <w:p w14:paraId="610673DE" w14:textId="77777777" w:rsidR="006537B2" w:rsidRPr="002A7C4F" w:rsidRDefault="006537B2" w:rsidP="006537B2">
      <w:pPr>
        <w:pStyle w:val="Citationcours"/>
        <w:ind w:left="0" w:right="-432" w:firstLine="0"/>
        <w:rPr>
          <w:rFonts w:ascii="Arial" w:hAnsi="Arial" w:cs="Arial"/>
          <w:sz w:val="22"/>
          <w:szCs w:val="22"/>
        </w:rPr>
      </w:pPr>
    </w:p>
    <w:p w14:paraId="4F97F765"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Attendu, selon les énonciations des juges du fond, qu'un arrêt du 16 février 1971, devenu irrévocable, de la Cour d'Appel de Paris a condamné la Société Nationale (Algérienne) de Transport et de Commercialisation des Hydrocarbures (SONATRACH) à payer une indemnité à M.X… pour résiliation fautive de son contrat de travail;</w:t>
      </w:r>
    </w:p>
    <w:p w14:paraId="13FABF2D"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Que, pour avoir paiement de cette indemnité, M. X… a fait pratiquer entre les mains de Gaz de France et de la Banque Française du Commerce Extérieur (dans les comptes de laquelle transitaient les fonds) la saisie-arrêt de sommes dues par Gaz de France à la SONATRACH, en exécution d'un contrat de fourniture de gaz liquéfié du 3 février 1982;</w:t>
      </w:r>
    </w:p>
    <w:p w14:paraId="1584E0E4"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Que l'arrêt attaqué a validé la saisie-arrêt après avoir écarté l'immunité d'exécution invoquée par la SONATRACH, au motif qu'elle n'établissait pas que les fonds saisis avaient, par leur origine ou leur destination, une affectation publique les assimilant aux fonds publics de l'Etat Algérien;</w:t>
      </w:r>
    </w:p>
    <w:p w14:paraId="25B43F81"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Attendu que la SONATRACH reproche à la Cour d'appel d'avoir ainsi statué, alors, selon le moyen, d'une part, que l'immunité d'exécution dont jouit l'Etat étranger ou l'organisme public agissant pour son compte ne peut être exceptionnellement écartée que lorsque la créance saisie a été affectée à une activité privée qui est celle-là même qui sert de base à la demande;</w:t>
      </w:r>
    </w:p>
    <w:p w14:paraId="0EF505F1"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Qu'en l'espèce, en validant une saisie-arrêt pratiquée sur une créance que détenait SONATRACH à l'encontre de Gaz de France et qui était totalement étrangère au litige opposant le saisissant à la SONATRACH à la suite de la rupture d'un contrat de travail, l'arrêt attaqué a violé les principes de droit international privé réglementant les immunités des Etats étrangers;</w:t>
      </w:r>
    </w:p>
    <w:p w14:paraId="68F1AC5D"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Et alors, d'autre part, que l'immunité d'exécution étant de principe, c'est à celui qui prétend faire pratiquer une mesure d'exécution sur les biens d'un organisme public étranger d'établir que ces biens ont une affectation privée;</w:t>
      </w:r>
    </w:p>
    <w:p w14:paraId="1A6E665F"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Qu'en écartant l'immunité d'exécution au seul motif que la SONATRACH n'établit pas que les fonds saisis ont une affectation publique les juges d'appel ont violé l'article 1315 du Code Civil;</w:t>
      </w:r>
    </w:p>
    <w:p w14:paraId="185A0449"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Mais attendu qu'à la différence des biens de l'Etat étranger, qui sont en principe insaisissables, sauf exceptions, notamment quand ils ont été affectés à l'activité économique ou commerciale de droit privé qui est à l'origine du titre du créancier saisissant, les biens des organismes publics, personnalisés ou non, distincts de l'Etat étranger, lorsqu'ils font partie d'un patrimoine que celui-ci a affecté à une activité principale relevant du droit privé, peuvent être saisis par tous les créanciers, quels qu'ils soient, de cet organisme;</w:t>
      </w:r>
    </w:p>
    <w:p w14:paraId="506319B8" w14:textId="77777777" w:rsidR="006537B2" w:rsidRPr="002A7C4F" w:rsidRDefault="006537B2" w:rsidP="006537B2">
      <w:pPr>
        <w:pStyle w:val="Citationcours"/>
        <w:ind w:left="0" w:right="-432" w:firstLine="0"/>
        <w:rPr>
          <w:rFonts w:ascii="Arial" w:hAnsi="Arial" w:cs="Arial"/>
          <w:sz w:val="22"/>
          <w:szCs w:val="22"/>
        </w:rPr>
      </w:pPr>
      <w:r w:rsidRPr="002A7C4F">
        <w:rPr>
          <w:rFonts w:ascii="Arial" w:hAnsi="Arial" w:cs="Arial"/>
          <w:sz w:val="22"/>
          <w:szCs w:val="22"/>
        </w:rPr>
        <w:t>Attendu qu'en l'espèce, la SONATRACH ayant pour objet principal le transport et la commercialisation des hydrocarbures, activité relevant par sa nature du droit privé, sa créance sur Gaz de France, qui avait pour origine la fourniture de gaz était saisissable par M. X…, sauf si elle démontrait qu'il n'en était pas ainsi, ce qu'elle n'a pas fait selon l'appréciation souveraine des juges du fond [rejet]</w:t>
      </w:r>
    </w:p>
    <w:p w14:paraId="04DE8057" w14:textId="77777777" w:rsidR="006537B2" w:rsidRPr="002A7C4F" w:rsidRDefault="006537B2" w:rsidP="006537B2">
      <w:pPr>
        <w:pStyle w:val="Citationcours"/>
        <w:ind w:left="0" w:right="-432" w:firstLine="0"/>
        <w:jc w:val="center"/>
        <w:rPr>
          <w:rFonts w:ascii="Arial" w:hAnsi="Arial" w:cs="Arial"/>
          <w:b/>
          <w:bCs/>
          <w:sz w:val="22"/>
          <w:szCs w:val="22"/>
        </w:rPr>
      </w:pPr>
    </w:p>
    <w:p w14:paraId="66EE2A92" w14:textId="77777777" w:rsidR="006537B2" w:rsidRPr="002A7C4F" w:rsidRDefault="006537B2" w:rsidP="006537B2">
      <w:pPr>
        <w:pStyle w:val="Citationcours"/>
        <w:ind w:left="0" w:right="-432" w:firstLine="0"/>
        <w:jc w:val="center"/>
        <w:rPr>
          <w:rFonts w:ascii="Arial" w:eastAsia="Calibri" w:hAnsi="Arial" w:cs="Arial"/>
          <w:b/>
          <w:sz w:val="22"/>
          <w:szCs w:val="22"/>
        </w:rPr>
      </w:pPr>
      <w:r w:rsidRPr="002A7C4F">
        <w:rPr>
          <w:rFonts w:ascii="Arial" w:hAnsi="Arial" w:cs="Arial"/>
          <w:b/>
          <w:bCs/>
          <w:sz w:val="22"/>
          <w:szCs w:val="22"/>
        </w:rPr>
        <w:t xml:space="preserve">Document n° </w:t>
      </w:r>
      <w:r w:rsidR="00885A01">
        <w:rPr>
          <w:rFonts w:ascii="Arial" w:hAnsi="Arial" w:cs="Arial"/>
          <w:b/>
          <w:bCs/>
          <w:sz w:val="22"/>
          <w:szCs w:val="22"/>
        </w:rPr>
        <w:t>3</w:t>
      </w:r>
      <w:r w:rsidRPr="002A7C4F">
        <w:rPr>
          <w:rFonts w:ascii="Arial" w:hAnsi="Arial" w:cs="Arial"/>
          <w:b/>
          <w:bCs/>
          <w:sz w:val="22"/>
          <w:szCs w:val="22"/>
        </w:rPr>
        <w:t xml:space="preserve"> </w:t>
      </w:r>
      <w:r w:rsidR="00885A01">
        <w:rPr>
          <w:rFonts w:ascii="Arial" w:hAnsi="Arial" w:cs="Arial"/>
          <w:b/>
          <w:bCs/>
          <w:sz w:val="22"/>
          <w:szCs w:val="22"/>
        </w:rPr>
        <w:t>–</w:t>
      </w:r>
      <w:r w:rsidRPr="002A7C4F">
        <w:rPr>
          <w:rFonts w:ascii="Arial" w:hAnsi="Arial" w:cs="Arial"/>
          <w:b/>
          <w:bCs/>
          <w:sz w:val="22"/>
          <w:szCs w:val="22"/>
        </w:rPr>
        <w:t xml:space="preserve"> Convention des Nations Unies sur l</w:t>
      </w:r>
      <w:r w:rsidR="00885A01">
        <w:rPr>
          <w:rFonts w:ascii="Arial" w:hAnsi="Arial" w:cs="Arial"/>
          <w:b/>
          <w:bCs/>
          <w:sz w:val="22"/>
          <w:szCs w:val="22"/>
        </w:rPr>
        <w:t>’</w:t>
      </w:r>
      <w:r w:rsidRPr="002A7C4F">
        <w:rPr>
          <w:rFonts w:ascii="Arial" w:hAnsi="Arial" w:cs="Arial"/>
          <w:b/>
          <w:bCs/>
          <w:sz w:val="22"/>
          <w:szCs w:val="22"/>
        </w:rPr>
        <w:t>immunité juridictionnelle des Etats et de leurs biens</w:t>
      </w:r>
      <w:r w:rsidRPr="002A7C4F">
        <w:rPr>
          <w:rFonts w:ascii="Arial" w:eastAsia="Calibri" w:hAnsi="Arial" w:cs="Arial"/>
          <w:b/>
          <w:sz w:val="22"/>
          <w:szCs w:val="22"/>
        </w:rPr>
        <w:t xml:space="preserve"> de 2004</w:t>
      </w:r>
    </w:p>
    <w:p w14:paraId="59E4203E" w14:textId="77777777" w:rsidR="006537B2" w:rsidRPr="002A7C4F" w:rsidRDefault="006537B2" w:rsidP="006537B2">
      <w:pPr>
        <w:pStyle w:val="Citationcours"/>
        <w:ind w:left="0" w:right="-432" w:firstLine="0"/>
        <w:rPr>
          <w:rFonts w:ascii="Arial" w:eastAsia="Calibri" w:hAnsi="Arial" w:cs="Arial"/>
          <w:b/>
          <w:sz w:val="22"/>
          <w:szCs w:val="22"/>
        </w:rPr>
      </w:pPr>
    </w:p>
    <w:p w14:paraId="1FB5D85F"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 xml:space="preserve">Article 5 </w:t>
      </w:r>
      <w:r w:rsidR="00885A01">
        <w:rPr>
          <w:rFonts w:ascii="Arial" w:hAnsi="Arial" w:cs="Arial"/>
          <w:bCs/>
          <w:sz w:val="22"/>
          <w:szCs w:val="22"/>
        </w:rPr>
        <w:t>–</w:t>
      </w:r>
      <w:r w:rsidRPr="002A7C4F">
        <w:rPr>
          <w:rFonts w:ascii="Arial" w:hAnsi="Arial" w:cs="Arial"/>
          <w:bCs/>
          <w:sz w:val="22"/>
          <w:szCs w:val="22"/>
        </w:rPr>
        <w:t xml:space="preserve"> Immunité des États</w:t>
      </w:r>
    </w:p>
    <w:p w14:paraId="1E3A72EE" w14:textId="77777777" w:rsidR="006537B2" w:rsidRPr="002A7C4F" w:rsidRDefault="006537B2" w:rsidP="006537B2">
      <w:pPr>
        <w:jc w:val="both"/>
        <w:rPr>
          <w:rFonts w:ascii="Arial" w:hAnsi="Arial" w:cs="Arial"/>
          <w:sz w:val="22"/>
          <w:szCs w:val="22"/>
        </w:rPr>
      </w:pPr>
      <w:r w:rsidRPr="002A7C4F">
        <w:rPr>
          <w:rFonts w:ascii="Arial" w:hAnsi="Arial" w:cs="Arial"/>
          <w:sz w:val="22"/>
          <w:szCs w:val="22"/>
        </w:rPr>
        <w:t>Un État jouit, pour lui-même et pour ses biens, de l’immunité de juridiction devant les tribunaux d’un autre État, sous réserve des dispositions de la présente Convention.</w:t>
      </w:r>
    </w:p>
    <w:p w14:paraId="4357D3B3" w14:textId="77777777" w:rsidR="006537B2" w:rsidRPr="002A7C4F" w:rsidRDefault="006537B2" w:rsidP="006537B2">
      <w:pPr>
        <w:jc w:val="both"/>
        <w:rPr>
          <w:rFonts w:ascii="Arial" w:hAnsi="Arial" w:cs="Arial"/>
          <w:sz w:val="22"/>
          <w:szCs w:val="22"/>
        </w:rPr>
      </w:pPr>
    </w:p>
    <w:p w14:paraId="1B615F8F"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 xml:space="preserve">Article 19 </w:t>
      </w:r>
      <w:r w:rsidR="00885A01">
        <w:rPr>
          <w:rFonts w:ascii="Arial" w:hAnsi="Arial" w:cs="Arial"/>
          <w:bCs/>
          <w:sz w:val="22"/>
          <w:szCs w:val="22"/>
        </w:rPr>
        <w:t>–</w:t>
      </w:r>
      <w:r w:rsidRPr="002A7C4F">
        <w:rPr>
          <w:rFonts w:ascii="Arial" w:hAnsi="Arial" w:cs="Arial"/>
          <w:bCs/>
          <w:sz w:val="22"/>
          <w:szCs w:val="22"/>
        </w:rPr>
        <w:t xml:space="preserve"> Immunité des États à l’égard des mesures de contrainte postérieures au jugement</w:t>
      </w:r>
    </w:p>
    <w:p w14:paraId="019BA926" w14:textId="77777777" w:rsidR="006537B2" w:rsidRPr="002A7C4F" w:rsidRDefault="006537B2" w:rsidP="006537B2">
      <w:pPr>
        <w:jc w:val="both"/>
        <w:rPr>
          <w:rFonts w:ascii="Arial" w:hAnsi="Arial" w:cs="Arial"/>
          <w:sz w:val="22"/>
          <w:szCs w:val="22"/>
        </w:rPr>
      </w:pPr>
      <w:r w:rsidRPr="002A7C4F">
        <w:rPr>
          <w:rFonts w:ascii="Arial" w:hAnsi="Arial" w:cs="Arial"/>
          <w:sz w:val="22"/>
          <w:szCs w:val="22"/>
        </w:rPr>
        <w:t>Aucune mesure de contrainte postérieure au jugement, telle que saisie, saisie-arrêt ou saisie-exécution, ne peut être prise contre des biens d’un État en relation avec une procédure intentée devant un tribunal d’un autre État excepté si et dans la mesure où</w:t>
      </w:r>
      <w:r w:rsidR="00885A01">
        <w:rPr>
          <w:rFonts w:ascii="Arial" w:hAnsi="Arial" w:cs="Arial"/>
          <w:sz w:val="22"/>
          <w:szCs w:val="22"/>
        </w:rPr>
        <w:t> </w:t>
      </w:r>
      <w:r w:rsidRPr="002A7C4F">
        <w:rPr>
          <w:rFonts w:ascii="Arial" w:hAnsi="Arial" w:cs="Arial"/>
          <w:sz w:val="22"/>
          <w:szCs w:val="22"/>
        </w:rPr>
        <w:t>:</w:t>
      </w:r>
    </w:p>
    <w:p w14:paraId="4BB4D31F" w14:textId="77777777" w:rsidR="006537B2" w:rsidRPr="002A7C4F" w:rsidRDefault="006537B2" w:rsidP="006537B2">
      <w:pPr>
        <w:jc w:val="both"/>
        <w:rPr>
          <w:rFonts w:ascii="Arial" w:hAnsi="Arial" w:cs="Arial"/>
          <w:sz w:val="22"/>
          <w:szCs w:val="22"/>
        </w:rPr>
      </w:pPr>
      <w:r w:rsidRPr="002A7C4F">
        <w:rPr>
          <w:rFonts w:ascii="Arial" w:hAnsi="Arial" w:cs="Arial"/>
          <w:i/>
          <w:iCs/>
          <w:sz w:val="22"/>
          <w:szCs w:val="22"/>
        </w:rPr>
        <w:t>a</w:t>
      </w:r>
      <w:r w:rsidRPr="002A7C4F">
        <w:rPr>
          <w:rFonts w:ascii="Arial" w:hAnsi="Arial" w:cs="Arial"/>
          <w:sz w:val="22"/>
          <w:szCs w:val="22"/>
        </w:rPr>
        <w:t>) L’État a expressément consenti à l’application de telles mesures dans les termes indiqués</w:t>
      </w:r>
      <w:r w:rsidR="00885A01">
        <w:rPr>
          <w:rFonts w:ascii="Arial" w:hAnsi="Arial" w:cs="Arial"/>
          <w:sz w:val="22"/>
          <w:szCs w:val="22"/>
        </w:rPr>
        <w:t> </w:t>
      </w:r>
      <w:r w:rsidRPr="002A7C4F">
        <w:rPr>
          <w:rFonts w:ascii="Arial" w:hAnsi="Arial" w:cs="Arial"/>
          <w:sz w:val="22"/>
          <w:szCs w:val="22"/>
        </w:rPr>
        <w:t>:</w:t>
      </w:r>
    </w:p>
    <w:p w14:paraId="73142E91" w14:textId="77777777" w:rsidR="006537B2" w:rsidRPr="002A7C4F" w:rsidRDefault="006537B2" w:rsidP="006537B2">
      <w:pPr>
        <w:jc w:val="both"/>
        <w:rPr>
          <w:rFonts w:ascii="Arial" w:hAnsi="Arial" w:cs="Arial"/>
          <w:sz w:val="22"/>
          <w:szCs w:val="22"/>
        </w:rPr>
      </w:pPr>
      <w:r w:rsidRPr="002A7C4F">
        <w:rPr>
          <w:rFonts w:ascii="Arial" w:hAnsi="Arial" w:cs="Arial"/>
          <w:sz w:val="22"/>
          <w:szCs w:val="22"/>
        </w:rPr>
        <w:t>i) Par un accord international</w:t>
      </w:r>
      <w:r w:rsidR="00885A01">
        <w:rPr>
          <w:rFonts w:ascii="Arial" w:hAnsi="Arial" w:cs="Arial"/>
          <w:sz w:val="22"/>
          <w:szCs w:val="22"/>
        </w:rPr>
        <w:t> </w:t>
      </w:r>
      <w:r w:rsidRPr="002A7C4F">
        <w:rPr>
          <w:rFonts w:ascii="Arial" w:hAnsi="Arial" w:cs="Arial"/>
          <w:sz w:val="22"/>
          <w:szCs w:val="22"/>
        </w:rPr>
        <w:t>;</w:t>
      </w:r>
    </w:p>
    <w:p w14:paraId="684B61F7" w14:textId="77777777" w:rsidR="006537B2" w:rsidRPr="002A7C4F" w:rsidRDefault="006537B2" w:rsidP="006537B2">
      <w:pPr>
        <w:jc w:val="both"/>
        <w:rPr>
          <w:rFonts w:ascii="Arial" w:hAnsi="Arial" w:cs="Arial"/>
          <w:sz w:val="22"/>
          <w:szCs w:val="22"/>
        </w:rPr>
      </w:pPr>
      <w:r w:rsidRPr="002A7C4F">
        <w:rPr>
          <w:rFonts w:ascii="Arial" w:hAnsi="Arial" w:cs="Arial"/>
          <w:sz w:val="22"/>
          <w:szCs w:val="22"/>
        </w:rPr>
        <w:t>ii) Par une convention d’arbitrage ou un contrat écrit</w:t>
      </w:r>
      <w:r w:rsidR="00885A01">
        <w:rPr>
          <w:rFonts w:ascii="Arial" w:hAnsi="Arial" w:cs="Arial"/>
          <w:sz w:val="22"/>
          <w:szCs w:val="22"/>
        </w:rPr>
        <w:t> </w:t>
      </w:r>
      <w:r w:rsidRPr="002A7C4F">
        <w:rPr>
          <w:rFonts w:ascii="Arial" w:hAnsi="Arial" w:cs="Arial"/>
          <w:sz w:val="22"/>
          <w:szCs w:val="22"/>
        </w:rPr>
        <w:t>; ou</w:t>
      </w:r>
    </w:p>
    <w:p w14:paraId="2EFA3326" w14:textId="77777777" w:rsidR="006537B2" w:rsidRPr="002A7C4F" w:rsidRDefault="006537B2" w:rsidP="006537B2">
      <w:pPr>
        <w:jc w:val="both"/>
        <w:rPr>
          <w:rFonts w:ascii="Arial" w:hAnsi="Arial" w:cs="Arial"/>
          <w:sz w:val="22"/>
          <w:szCs w:val="22"/>
        </w:rPr>
      </w:pPr>
      <w:r w:rsidRPr="002A7C4F">
        <w:rPr>
          <w:rFonts w:ascii="Arial" w:hAnsi="Arial" w:cs="Arial"/>
          <w:sz w:val="22"/>
          <w:szCs w:val="22"/>
        </w:rPr>
        <w:lastRenderedPageBreak/>
        <w:t>iii) Par une déclaration devant le tribunal ou une communication écrite faite après la survenance du différend entre les parties</w:t>
      </w:r>
      <w:r w:rsidR="00885A01">
        <w:rPr>
          <w:rFonts w:ascii="Arial" w:hAnsi="Arial" w:cs="Arial"/>
          <w:sz w:val="22"/>
          <w:szCs w:val="22"/>
        </w:rPr>
        <w:t> </w:t>
      </w:r>
      <w:r w:rsidRPr="002A7C4F">
        <w:rPr>
          <w:rFonts w:ascii="Arial" w:hAnsi="Arial" w:cs="Arial"/>
          <w:sz w:val="22"/>
          <w:szCs w:val="22"/>
        </w:rPr>
        <w:t>; ou</w:t>
      </w:r>
    </w:p>
    <w:p w14:paraId="4F88FA4B" w14:textId="77777777" w:rsidR="006537B2" w:rsidRPr="002A7C4F" w:rsidRDefault="006537B2" w:rsidP="006537B2">
      <w:pPr>
        <w:jc w:val="both"/>
        <w:rPr>
          <w:rFonts w:ascii="Arial" w:hAnsi="Arial" w:cs="Arial"/>
          <w:sz w:val="22"/>
          <w:szCs w:val="22"/>
        </w:rPr>
      </w:pPr>
      <w:r w:rsidRPr="002A7C4F">
        <w:rPr>
          <w:rFonts w:ascii="Arial" w:hAnsi="Arial" w:cs="Arial"/>
          <w:i/>
          <w:iCs/>
          <w:sz w:val="22"/>
          <w:szCs w:val="22"/>
        </w:rPr>
        <w:t>b</w:t>
      </w:r>
      <w:r w:rsidRPr="002A7C4F">
        <w:rPr>
          <w:rFonts w:ascii="Arial" w:hAnsi="Arial" w:cs="Arial"/>
          <w:sz w:val="22"/>
          <w:szCs w:val="22"/>
        </w:rPr>
        <w:t>) L’État a réservé ou affecté des biens à la satisfaction de la demande qui fait l’objet de cette procédure</w:t>
      </w:r>
      <w:r w:rsidR="00885A01">
        <w:rPr>
          <w:rFonts w:ascii="Arial" w:hAnsi="Arial" w:cs="Arial"/>
          <w:sz w:val="22"/>
          <w:szCs w:val="22"/>
        </w:rPr>
        <w:t> </w:t>
      </w:r>
      <w:r w:rsidRPr="002A7C4F">
        <w:rPr>
          <w:rFonts w:ascii="Arial" w:hAnsi="Arial" w:cs="Arial"/>
          <w:sz w:val="22"/>
          <w:szCs w:val="22"/>
        </w:rPr>
        <w:t>; ou</w:t>
      </w:r>
    </w:p>
    <w:p w14:paraId="54F6DFA5" w14:textId="77777777" w:rsidR="006537B2" w:rsidRPr="002A7C4F" w:rsidRDefault="006537B2" w:rsidP="006537B2">
      <w:pPr>
        <w:jc w:val="both"/>
        <w:rPr>
          <w:rFonts w:ascii="Arial" w:hAnsi="Arial" w:cs="Arial"/>
          <w:sz w:val="22"/>
          <w:szCs w:val="22"/>
        </w:rPr>
      </w:pPr>
      <w:r w:rsidRPr="002A7C4F">
        <w:rPr>
          <w:rFonts w:ascii="Arial" w:hAnsi="Arial" w:cs="Arial"/>
          <w:i/>
          <w:iCs/>
          <w:sz w:val="22"/>
          <w:szCs w:val="22"/>
        </w:rPr>
        <w:t>c</w:t>
      </w:r>
      <w:r w:rsidRPr="002A7C4F">
        <w:rPr>
          <w:rFonts w:ascii="Arial" w:hAnsi="Arial" w:cs="Arial"/>
          <w:sz w:val="22"/>
          <w:szCs w:val="22"/>
        </w:rPr>
        <w:t>) Il a été établi que les biens sont spécifiquement utilisés ou destinés à être utilisés par l’État autrement qu’à des fins de service public non commerciales et sont situés sur le territoire de l’État du for, à condition que les mesures de contrainte postérieures au jugement ne portent que sur des biens qui ont un lien avec l’entité contre laquelle la procédure a été intentée.</w:t>
      </w:r>
    </w:p>
    <w:p w14:paraId="1DEE92F6" w14:textId="77777777" w:rsidR="006537B2" w:rsidRPr="002A7C4F" w:rsidRDefault="006537B2" w:rsidP="006537B2">
      <w:pPr>
        <w:jc w:val="both"/>
        <w:rPr>
          <w:rFonts w:ascii="Arial" w:hAnsi="Arial" w:cs="Arial"/>
          <w:sz w:val="22"/>
          <w:szCs w:val="22"/>
        </w:rPr>
      </w:pPr>
    </w:p>
    <w:p w14:paraId="6488AEEC" w14:textId="77777777" w:rsidR="006537B2" w:rsidRPr="002A7C4F" w:rsidRDefault="006537B2" w:rsidP="006537B2">
      <w:pPr>
        <w:jc w:val="both"/>
        <w:rPr>
          <w:rFonts w:ascii="Arial" w:hAnsi="Arial" w:cs="Arial"/>
          <w:bCs/>
          <w:sz w:val="22"/>
          <w:szCs w:val="22"/>
        </w:rPr>
      </w:pPr>
      <w:r w:rsidRPr="002A7C4F">
        <w:rPr>
          <w:rFonts w:ascii="Arial" w:hAnsi="Arial" w:cs="Arial"/>
          <w:bCs/>
          <w:sz w:val="22"/>
          <w:szCs w:val="22"/>
        </w:rPr>
        <w:t>Article 21 Catégories spécifiques de biens</w:t>
      </w:r>
    </w:p>
    <w:p w14:paraId="6AAB7F7B" w14:textId="77777777" w:rsidR="006537B2" w:rsidRPr="002A7C4F" w:rsidRDefault="006537B2" w:rsidP="006537B2">
      <w:pPr>
        <w:jc w:val="both"/>
        <w:rPr>
          <w:rFonts w:ascii="Arial" w:hAnsi="Arial" w:cs="Arial"/>
          <w:sz w:val="22"/>
          <w:szCs w:val="22"/>
        </w:rPr>
      </w:pPr>
      <w:r w:rsidRPr="002A7C4F">
        <w:rPr>
          <w:rFonts w:ascii="Arial" w:hAnsi="Arial" w:cs="Arial"/>
          <w:sz w:val="22"/>
          <w:szCs w:val="22"/>
        </w:rPr>
        <w:t xml:space="preserve">1. Les catégories de biens d’État ci-après ne sont notamment pas considérées comme des biens spécifiquement utilisés ou destinés à être utilisés par l’État autrement qu’à des fins de service public non commerciales au sens des dispositions de l’alinéa </w:t>
      </w:r>
      <w:r w:rsidRPr="002A7C4F">
        <w:rPr>
          <w:rFonts w:ascii="Arial" w:hAnsi="Arial" w:cs="Arial"/>
          <w:i/>
          <w:iCs/>
          <w:sz w:val="22"/>
          <w:szCs w:val="22"/>
        </w:rPr>
        <w:t xml:space="preserve">c </w:t>
      </w:r>
      <w:r w:rsidRPr="002A7C4F">
        <w:rPr>
          <w:rFonts w:ascii="Arial" w:hAnsi="Arial" w:cs="Arial"/>
          <w:sz w:val="22"/>
          <w:szCs w:val="22"/>
        </w:rPr>
        <w:t>de l’article 19</w:t>
      </w:r>
      <w:r w:rsidR="00885A01">
        <w:rPr>
          <w:rFonts w:ascii="Arial" w:hAnsi="Arial" w:cs="Arial"/>
          <w:sz w:val="22"/>
          <w:szCs w:val="22"/>
        </w:rPr>
        <w:t> </w:t>
      </w:r>
      <w:r w:rsidRPr="002A7C4F">
        <w:rPr>
          <w:rFonts w:ascii="Arial" w:hAnsi="Arial" w:cs="Arial"/>
          <w:sz w:val="22"/>
          <w:szCs w:val="22"/>
        </w:rPr>
        <w:t>:</w:t>
      </w:r>
    </w:p>
    <w:p w14:paraId="5046732A" w14:textId="77777777" w:rsidR="006537B2" w:rsidRPr="002A7C4F" w:rsidRDefault="006537B2" w:rsidP="006537B2">
      <w:pPr>
        <w:jc w:val="both"/>
        <w:rPr>
          <w:rFonts w:ascii="Arial" w:hAnsi="Arial" w:cs="Arial"/>
          <w:sz w:val="22"/>
          <w:szCs w:val="22"/>
        </w:rPr>
      </w:pPr>
      <w:r w:rsidRPr="002A7C4F">
        <w:rPr>
          <w:rFonts w:ascii="Arial" w:hAnsi="Arial" w:cs="Arial"/>
          <w:i/>
          <w:iCs/>
          <w:sz w:val="22"/>
          <w:szCs w:val="22"/>
        </w:rPr>
        <w:t>a</w:t>
      </w:r>
      <w:r w:rsidRPr="002A7C4F">
        <w:rPr>
          <w:rFonts w:ascii="Arial" w:hAnsi="Arial" w:cs="Arial"/>
          <w:sz w:val="22"/>
          <w:szCs w:val="22"/>
        </w:rPr>
        <w:t>) Les biens, y compris les comptes bancaires, utilisés ou destinés à être utilisés dans l’exercice des fonctions de la mission diplomatique de l’État ou de ses postes consulaires, de ses missions spéciales, de ses missions auprès des organisations internationales, ou de ses délégations dans les organes des organisations internationales ou aux conférences internationales</w:t>
      </w:r>
      <w:r w:rsidR="00885A01">
        <w:rPr>
          <w:rFonts w:ascii="Arial" w:hAnsi="Arial" w:cs="Arial"/>
          <w:sz w:val="22"/>
          <w:szCs w:val="22"/>
        </w:rPr>
        <w:t> </w:t>
      </w:r>
      <w:r w:rsidRPr="002A7C4F">
        <w:rPr>
          <w:rFonts w:ascii="Arial" w:hAnsi="Arial" w:cs="Arial"/>
          <w:sz w:val="22"/>
          <w:szCs w:val="22"/>
        </w:rPr>
        <w:t>;</w:t>
      </w:r>
    </w:p>
    <w:p w14:paraId="39BCF829" w14:textId="77777777" w:rsidR="006537B2" w:rsidRPr="002A7C4F" w:rsidRDefault="006537B2" w:rsidP="006537B2">
      <w:pPr>
        <w:rPr>
          <w:rFonts w:ascii="Arial" w:hAnsi="Arial" w:cs="Arial"/>
          <w:sz w:val="22"/>
          <w:szCs w:val="22"/>
        </w:rPr>
      </w:pPr>
      <w:r w:rsidRPr="002A7C4F">
        <w:rPr>
          <w:rFonts w:ascii="Arial" w:hAnsi="Arial" w:cs="Arial"/>
          <w:i/>
          <w:iCs/>
          <w:sz w:val="22"/>
          <w:szCs w:val="22"/>
        </w:rPr>
        <w:t>b</w:t>
      </w:r>
      <w:r w:rsidRPr="002A7C4F">
        <w:rPr>
          <w:rFonts w:ascii="Arial" w:hAnsi="Arial" w:cs="Arial"/>
          <w:sz w:val="22"/>
          <w:szCs w:val="22"/>
        </w:rPr>
        <w:t>) Les biens de caractère militaire ou les biens utilisés ou destinés à être utilisés dans l’exercice de fonctions militaires</w:t>
      </w:r>
      <w:r w:rsidR="00885A01">
        <w:rPr>
          <w:rFonts w:ascii="Arial" w:hAnsi="Arial" w:cs="Arial"/>
          <w:sz w:val="22"/>
          <w:szCs w:val="22"/>
        </w:rPr>
        <w:t> </w:t>
      </w:r>
      <w:r w:rsidRPr="002A7C4F">
        <w:rPr>
          <w:rFonts w:ascii="Arial" w:hAnsi="Arial" w:cs="Arial"/>
          <w:sz w:val="22"/>
          <w:szCs w:val="22"/>
        </w:rPr>
        <w:t>;</w:t>
      </w:r>
    </w:p>
    <w:p w14:paraId="218917EF" w14:textId="77777777" w:rsidR="006537B2" w:rsidRPr="002A7C4F" w:rsidRDefault="006537B2" w:rsidP="006537B2">
      <w:pPr>
        <w:rPr>
          <w:rFonts w:ascii="Arial" w:hAnsi="Arial" w:cs="Arial"/>
          <w:sz w:val="22"/>
          <w:szCs w:val="22"/>
        </w:rPr>
      </w:pPr>
      <w:r w:rsidRPr="002A7C4F">
        <w:rPr>
          <w:rFonts w:ascii="Arial" w:hAnsi="Arial" w:cs="Arial"/>
          <w:i/>
          <w:iCs/>
          <w:sz w:val="22"/>
          <w:szCs w:val="22"/>
        </w:rPr>
        <w:t>c</w:t>
      </w:r>
      <w:r w:rsidRPr="002A7C4F">
        <w:rPr>
          <w:rFonts w:ascii="Arial" w:hAnsi="Arial" w:cs="Arial"/>
          <w:sz w:val="22"/>
          <w:szCs w:val="22"/>
        </w:rPr>
        <w:t>) Les biens de la banque centrale ou d’une autre autorité monétaire de l’État</w:t>
      </w:r>
      <w:r w:rsidR="00885A01">
        <w:rPr>
          <w:rFonts w:ascii="Arial" w:hAnsi="Arial" w:cs="Arial"/>
          <w:sz w:val="22"/>
          <w:szCs w:val="22"/>
        </w:rPr>
        <w:t> </w:t>
      </w:r>
      <w:r w:rsidRPr="002A7C4F">
        <w:rPr>
          <w:rFonts w:ascii="Arial" w:hAnsi="Arial" w:cs="Arial"/>
          <w:sz w:val="22"/>
          <w:szCs w:val="22"/>
        </w:rPr>
        <w:t>;</w:t>
      </w:r>
    </w:p>
    <w:p w14:paraId="2367F9E7" w14:textId="77777777" w:rsidR="006537B2" w:rsidRPr="002A7C4F" w:rsidRDefault="006537B2" w:rsidP="006537B2">
      <w:pPr>
        <w:rPr>
          <w:rFonts w:ascii="Arial" w:hAnsi="Arial" w:cs="Arial"/>
          <w:sz w:val="22"/>
          <w:szCs w:val="22"/>
        </w:rPr>
      </w:pPr>
      <w:r w:rsidRPr="002A7C4F">
        <w:rPr>
          <w:rFonts w:ascii="Arial" w:hAnsi="Arial" w:cs="Arial"/>
          <w:i/>
          <w:iCs/>
          <w:sz w:val="22"/>
          <w:szCs w:val="22"/>
        </w:rPr>
        <w:t>d</w:t>
      </w:r>
      <w:r w:rsidRPr="002A7C4F">
        <w:rPr>
          <w:rFonts w:ascii="Arial" w:hAnsi="Arial" w:cs="Arial"/>
          <w:sz w:val="22"/>
          <w:szCs w:val="22"/>
        </w:rPr>
        <w:t>) Les biens faisant partie du patrimoine culturel de l’État ou de ses archives qui ne sont pas mis ou destinés à être mis en vente</w:t>
      </w:r>
      <w:r w:rsidR="00885A01">
        <w:rPr>
          <w:rFonts w:ascii="Arial" w:hAnsi="Arial" w:cs="Arial"/>
          <w:sz w:val="22"/>
          <w:szCs w:val="22"/>
        </w:rPr>
        <w:t> </w:t>
      </w:r>
      <w:r w:rsidRPr="002A7C4F">
        <w:rPr>
          <w:rFonts w:ascii="Arial" w:hAnsi="Arial" w:cs="Arial"/>
          <w:sz w:val="22"/>
          <w:szCs w:val="22"/>
        </w:rPr>
        <w:t>;</w:t>
      </w:r>
    </w:p>
    <w:p w14:paraId="66EAD0BB" w14:textId="77777777" w:rsidR="006537B2" w:rsidRPr="002A7C4F" w:rsidRDefault="006537B2" w:rsidP="006537B2">
      <w:pPr>
        <w:rPr>
          <w:rFonts w:ascii="Arial" w:hAnsi="Arial" w:cs="Arial"/>
          <w:sz w:val="22"/>
          <w:szCs w:val="22"/>
        </w:rPr>
      </w:pPr>
      <w:r w:rsidRPr="002A7C4F">
        <w:rPr>
          <w:rFonts w:ascii="Arial" w:hAnsi="Arial" w:cs="Arial"/>
          <w:i/>
          <w:iCs/>
          <w:sz w:val="22"/>
          <w:szCs w:val="22"/>
        </w:rPr>
        <w:t>e</w:t>
      </w:r>
      <w:r w:rsidRPr="002A7C4F">
        <w:rPr>
          <w:rFonts w:ascii="Arial" w:hAnsi="Arial" w:cs="Arial"/>
          <w:sz w:val="22"/>
          <w:szCs w:val="22"/>
        </w:rPr>
        <w:t>) Les biens faisant partie d’une exposition d’objets d’intérêt scientifique, culturel ou historique qui ne sont pas mis ou destinés à être mis en vente.</w:t>
      </w:r>
    </w:p>
    <w:p w14:paraId="59569084" w14:textId="77777777" w:rsidR="006537B2" w:rsidRPr="002A7C4F" w:rsidRDefault="006537B2" w:rsidP="006537B2">
      <w:pPr>
        <w:rPr>
          <w:rFonts w:ascii="Arial" w:hAnsi="Arial" w:cs="Arial"/>
          <w:sz w:val="22"/>
          <w:szCs w:val="22"/>
        </w:rPr>
      </w:pPr>
      <w:r w:rsidRPr="002A7C4F">
        <w:rPr>
          <w:rFonts w:ascii="Arial" w:hAnsi="Arial" w:cs="Arial"/>
          <w:sz w:val="22"/>
          <w:szCs w:val="22"/>
        </w:rPr>
        <w:t xml:space="preserve">2. Le paragraphe 1 est sans préjudice de l’article 18 et des alinéas </w:t>
      </w:r>
      <w:r w:rsidRPr="002A7C4F">
        <w:rPr>
          <w:rFonts w:ascii="Arial" w:hAnsi="Arial" w:cs="Arial"/>
          <w:i/>
          <w:iCs/>
          <w:sz w:val="22"/>
          <w:szCs w:val="22"/>
        </w:rPr>
        <w:t xml:space="preserve">a </w:t>
      </w:r>
      <w:r w:rsidRPr="002A7C4F">
        <w:rPr>
          <w:rFonts w:ascii="Arial" w:hAnsi="Arial" w:cs="Arial"/>
          <w:sz w:val="22"/>
          <w:szCs w:val="22"/>
        </w:rPr>
        <w:t xml:space="preserve">et </w:t>
      </w:r>
      <w:r w:rsidRPr="002A7C4F">
        <w:rPr>
          <w:rFonts w:ascii="Arial" w:hAnsi="Arial" w:cs="Arial"/>
          <w:i/>
          <w:iCs/>
          <w:sz w:val="22"/>
          <w:szCs w:val="22"/>
        </w:rPr>
        <w:t>b</w:t>
      </w:r>
      <w:r w:rsidRPr="002A7C4F">
        <w:rPr>
          <w:rFonts w:ascii="Arial" w:hAnsi="Arial" w:cs="Arial"/>
          <w:sz w:val="22"/>
          <w:szCs w:val="22"/>
        </w:rPr>
        <w:t>) de l’article 19.</w:t>
      </w:r>
    </w:p>
    <w:p w14:paraId="68F2F815" w14:textId="77777777" w:rsidR="006537B2" w:rsidRPr="002A7C4F" w:rsidRDefault="006537B2" w:rsidP="006537B2">
      <w:pPr>
        <w:pStyle w:val="Citationcours"/>
        <w:ind w:left="0" w:right="-432" w:firstLine="0"/>
        <w:rPr>
          <w:rFonts w:ascii="Arial" w:eastAsiaTheme="minorEastAsia" w:hAnsi="Arial" w:cs="Arial"/>
          <w:b/>
          <w:sz w:val="22"/>
          <w:szCs w:val="22"/>
        </w:rPr>
      </w:pPr>
    </w:p>
    <w:p w14:paraId="4C243F8E" w14:textId="77777777" w:rsidR="006537B2" w:rsidRPr="00885A01" w:rsidRDefault="00885A01" w:rsidP="00885A01">
      <w:pPr>
        <w:jc w:val="center"/>
        <w:rPr>
          <w:rFonts w:ascii="Arial" w:hAnsi="Arial" w:cs="Arial"/>
          <w:b/>
          <w:sz w:val="22"/>
          <w:szCs w:val="22"/>
        </w:rPr>
      </w:pPr>
      <w:r>
        <w:rPr>
          <w:rFonts w:ascii="Arial" w:hAnsi="Arial" w:cs="Arial"/>
          <w:b/>
          <w:sz w:val="22"/>
          <w:szCs w:val="22"/>
        </w:rPr>
        <w:t>Document n° 4 – Code des procédures civiles d’exécution</w:t>
      </w:r>
    </w:p>
    <w:p w14:paraId="25A70314" w14:textId="77777777" w:rsidR="002A7C4F" w:rsidRPr="002A7C4F" w:rsidRDefault="002A7C4F" w:rsidP="00C62AB8">
      <w:pPr>
        <w:rPr>
          <w:rFonts w:ascii="Arial" w:hAnsi="Arial" w:cs="Arial"/>
          <w:sz w:val="22"/>
          <w:szCs w:val="22"/>
        </w:rPr>
      </w:pPr>
    </w:p>
    <w:p w14:paraId="132DDD9A" w14:textId="77777777" w:rsidR="002A7C4F" w:rsidRPr="002A7C4F" w:rsidRDefault="009C5AFD" w:rsidP="002A7C4F">
      <w:pPr>
        <w:pStyle w:val="name-article"/>
        <w:spacing w:before="0" w:beforeAutospacing="0" w:after="0" w:afterAutospacing="0"/>
        <w:rPr>
          <w:rFonts w:ascii="Arial" w:hAnsi="Arial" w:cs="Arial"/>
          <w:sz w:val="22"/>
          <w:szCs w:val="22"/>
        </w:rPr>
      </w:pPr>
      <w:hyperlink r:id="rId7" w:history="1">
        <w:r w:rsidR="002A7C4F" w:rsidRPr="002A7C4F">
          <w:rPr>
            <w:rStyle w:val="Lienhypertexte"/>
            <w:rFonts w:ascii="Arial" w:hAnsi="Arial" w:cs="Arial"/>
            <w:color w:val="auto"/>
            <w:sz w:val="22"/>
            <w:szCs w:val="22"/>
            <w:u w:val="none"/>
          </w:rPr>
          <w:t>Article L111-1</w:t>
        </w:r>
      </w:hyperlink>
    </w:p>
    <w:p w14:paraId="619B0D6C" w14:textId="77777777" w:rsidR="002A7C4F" w:rsidRPr="002A7C4F" w:rsidRDefault="002A7C4F" w:rsidP="002A7C4F">
      <w:pPr>
        <w:pStyle w:val="NormalWeb"/>
        <w:spacing w:before="0" w:beforeAutospacing="0" w:after="0" w:afterAutospacing="0"/>
        <w:rPr>
          <w:rFonts w:ascii="Arial" w:hAnsi="Arial" w:cs="Arial"/>
          <w:sz w:val="22"/>
          <w:szCs w:val="22"/>
        </w:rPr>
      </w:pPr>
      <w:r w:rsidRPr="002A7C4F">
        <w:rPr>
          <w:rFonts w:ascii="Arial" w:hAnsi="Arial" w:cs="Arial"/>
          <w:sz w:val="22"/>
          <w:szCs w:val="22"/>
        </w:rPr>
        <w:t>Tout créancier peut, dans les conditions prévues par la loi, contraindre son débiteur défaillant à exécuter ses obligations à son égard.</w:t>
      </w:r>
      <w:r w:rsidRPr="002A7C4F">
        <w:rPr>
          <w:rFonts w:ascii="Arial" w:hAnsi="Arial" w:cs="Arial"/>
          <w:sz w:val="22"/>
          <w:szCs w:val="22"/>
        </w:rPr>
        <w:br/>
        <w:t>Tout créancier peut pratiquer une mesure conservatoire pour assurer la sauvegarde de ses droits.</w:t>
      </w:r>
      <w:r w:rsidRPr="002A7C4F">
        <w:rPr>
          <w:rFonts w:ascii="Arial" w:hAnsi="Arial" w:cs="Arial"/>
          <w:sz w:val="22"/>
          <w:szCs w:val="22"/>
        </w:rPr>
        <w:br/>
        <w:t>L'exécution forcée et les mesures conservatoires ne sont pas applicables aux personnes qui bénéficient d'une immunité d'exécution.</w:t>
      </w:r>
    </w:p>
    <w:p w14:paraId="145ED615" w14:textId="77777777" w:rsidR="002A7C4F" w:rsidRPr="002A7C4F" w:rsidRDefault="002A7C4F" w:rsidP="002A7C4F">
      <w:pPr>
        <w:pStyle w:val="NormalWeb"/>
        <w:spacing w:before="0" w:beforeAutospacing="0" w:after="0" w:afterAutospacing="0"/>
        <w:rPr>
          <w:rFonts w:ascii="Arial" w:hAnsi="Arial" w:cs="Arial"/>
          <w:sz w:val="22"/>
          <w:szCs w:val="22"/>
        </w:rPr>
      </w:pPr>
    </w:p>
    <w:p w14:paraId="1547A20C" w14:textId="77777777" w:rsidR="002A7C4F" w:rsidRPr="002A7C4F" w:rsidRDefault="009C5AFD" w:rsidP="002A7C4F">
      <w:pPr>
        <w:pStyle w:val="name-article"/>
        <w:spacing w:before="0" w:beforeAutospacing="0" w:after="0" w:afterAutospacing="0"/>
        <w:rPr>
          <w:rFonts w:ascii="Arial" w:hAnsi="Arial" w:cs="Arial"/>
          <w:sz w:val="22"/>
          <w:szCs w:val="22"/>
        </w:rPr>
      </w:pPr>
      <w:hyperlink r:id="rId8" w:history="1">
        <w:r w:rsidR="002A7C4F" w:rsidRPr="002A7C4F">
          <w:rPr>
            <w:rStyle w:val="Lienhypertexte"/>
            <w:rFonts w:ascii="Arial" w:hAnsi="Arial" w:cs="Arial"/>
            <w:color w:val="auto"/>
            <w:sz w:val="22"/>
            <w:szCs w:val="22"/>
            <w:u w:val="none"/>
          </w:rPr>
          <w:t>Article L111-1-1</w:t>
        </w:r>
      </w:hyperlink>
    </w:p>
    <w:p w14:paraId="78206599" w14:textId="77777777" w:rsidR="002A7C4F" w:rsidRPr="002A7C4F" w:rsidRDefault="002A7C4F" w:rsidP="002A7C4F">
      <w:pPr>
        <w:pStyle w:val="NormalWeb"/>
        <w:spacing w:before="0" w:beforeAutospacing="0" w:after="0" w:afterAutospacing="0"/>
        <w:rPr>
          <w:rFonts w:ascii="Arial" w:hAnsi="Arial" w:cs="Arial"/>
          <w:sz w:val="22"/>
          <w:szCs w:val="22"/>
        </w:rPr>
      </w:pPr>
      <w:r w:rsidRPr="002A7C4F">
        <w:rPr>
          <w:rFonts w:ascii="Arial" w:hAnsi="Arial" w:cs="Arial"/>
          <w:sz w:val="22"/>
          <w:szCs w:val="22"/>
        </w:rPr>
        <w:t>Des mesures conservatoires ou des mesures d'exécution forcée ne peuvent être mises en œuvre sur un bien appartenant à un Etat étranger que sur autorisation préalable du juge par ordonnance rendue sur requête.</w:t>
      </w:r>
    </w:p>
    <w:p w14:paraId="0DE6841D" w14:textId="77777777" w:rsidR="002A7C4F" w:rsidRPr="002A7C4F" w:rsidRDefault="002A7C4F" w:rsidP="002A7C4F">
      <w:pPr>
        <w:pStyle w:val="NormalWeb"/>
        <w:spacing w:before="0" w:beforeAutospacing="0" w:after="0" w:afterAutospacing="0"/>
        <w:rPr>
          <w:rFonts w:ascii="Arial" w:hAnsi="Arial" w:cs="Arial"/>
          <w:sz w:val="22"/>
          <w:szCs w:val="22"/>
        </w:rPr>
      </w:pPr>
    </w:p>
    <w:p w14:paraId="5F6704CE" w14:textId="77777777" w:rsidR="002A7C4F" w:rsidRPr="002A7C4F" w:rsidRDefault="009C5AFD" w:rsidP="002A7C4F">
      <w:pPr>
        <w:pStyle w:val="name-article"/>
        <w:spacing w:before="0" w:beforeAutospacing="0" w:after="0" w:afterAutospacing="0"/>
        <w:rPr>
          <w:rFonts w:ascii="Arial" w:hAnsi="Arial" w:cs="Arial"/>
          <w:sz w:val="22"/>
          <w:szCs w:val="22"/>
        </w:rPr>
      </w:pPr>
      <w:hyperlink r:id="rId9" w:history="1">
        <w:r w:rsidR="002A7C4F" w:rsidRPr="002A7C4F">
          <w:rPr>
            <w:rStyle w:val="Lienhypertexte"/>
            <w:rFonts w:ascii="Arial" w:hAnsi="Arial" w:cs="Arial"/>
            <w:color w:val="auto"/>
            <w:sz w:val="22"/>
            <w:szCs w:val="22"/>
            <w:u w:val="none"/>
          </w:rPr>
          <w:t>Article L111-1-2</w:t>
        </w:r>
      </w:hyperlink>
    </w:p>
    <w:p w14:paraId="0E303C7D" w14:textId="77777777" w:rsidR="002A7C4F" w:rsidRPr="002A7C4F" w:rsidRDefault="002A7C4F" w:rsidP="002A7C4F">
      <w:pPr>
        <w:pStyle w:val="NormalWeb"/>
        <w:spacing w:before="0" w:beforeAutospacing="0" w:after="0" w:afterAutospacing="0"/>
        <w:rPr>
          <w:rFonts w:ascii="Arial" w:hAnsi="Arial" w:cs="Arial"/>
          <w:sz w:val="22"/>
          <w:szCs w:val="22"/>
        </w:rPr>
      </w:pPr>
      <w:r w:rsidRPr="002A7C4F">
        <w:rPr>
          <w:rFonts w:ascii="Arial" w:hAnsi="Arial" w:cs="Arial"/>
          <w:sz w:val="22"/>
          <w:szCs w:val="22"/>
        </w:rPr>
        <w:t xml:space="preserve">Des mesures conservatoires ou des mesures d'exécution forcée visant un bien appartenant à un Etat étranger ne peuvent être autorisées par le juge que si l'une des conditions suivantes est remplie : </w:t>
      </w:r>
      <w:r w:rsidRPr="002A7C4F">
        <w:rPr>
          <w:rFonts w:ascii="Arial" w:hAnsi="Arial" w:cs="Arial"/>
          <w:sz w:val="22"/>
          <w:szCs w:val="22"/>
        </w:rPr>
        <w:br/>
        <w:t xml:space="preserve">1° L'Etat concerné a expressément consenti à l'application d'une telle mesure ; </w:t>
      </w:r>
      <w:r w:rsidRPr="002A7C4F">
        <w:rPr>
          <w:rFonts w:ascii="Arial" w:hAnsi="Arial" w:cs="Arial"/>
          <w:sz w:val="22"/>
          <w:szCs w:val="22"/>
        </w:rPr>
        <w:br/>
        <w:t xml:space="preserve">2° L'Etat concerné a réservé ou affecté ce bien à la satisfaction de la demande qui fait l'objet de la procédure ; </w:t>
      </w:r>
      <w:r w:rsidRPr="002A7C4F">
        <w:rPr>
          <w:rFonts w:ascii="Arial" w:hAnsi="Arial" w:cs="Arial"/>
          <w:sz w:val="22"/>
          <w:szCs w:val="22"/>
        </w:rPr>
        <w:br/>
        <w:t xml:space="preserve">3° Lorsqu'un jugement ou une sentence arbitrale a été rendu contre l'Etat concerné et que le bien en question est spécifiquement utilisé ou destiné à être utilisé par ledit Etat autrement qu'à des fins de service public non commerciales et entretient un lien avec l'entité contre laquelle la procédure a été intentée. </w:t>
      </w:r>
      <w:r w:rsidRPr="002A7C4F">
        <w:rPr>
          <w:rFonts w:ascii="Arial" w:hAnsi="Arial" w:cs="Arial"/>
          <w:sz w:val="22"/>
          <w:szCs w:val="22"/>
        </w:rPr>
        <w:br/>
        <w:t xml:space="preserve">Pour l'application du 3°, sont notamment considérés comme spécifiquement utilisés ou </w:t>
      </w:r>
      <w:r w:rsidRPr="002A7C4F">
        <w:rPr>
          <w:rFonts w:ascii="Arial" w:hAnsi="Arial" w:cs="Arial"/>
          <w:sz w:val="22"/>
          <w:szCs w:val="22"/>
        </w:rPr>
        <w:lastRenderedPageBreak/>
        <w:t xml:space="preserve">destinés à être utilisés par l'Etat à des fins de service public non commerciales, les biens suivants : </w:t>
      </w:r>
      <w:r w:rsidRPr="002A7C4F">
        <w:rPr>
          <w:rFonts w:ascii="Arial" w:hAnsi="Arial" w:cs="Arial"/>
          <w:sz w:val="22"/>
          <w:szCs w:val="22"/>
        </w:rPr>
        <w:br/>
        <w:t xml:space="preserve">a) Les biens, y compris les comptes bancaires, utilisés ou destinés à être utilisés dans l'exercice des fonctions de la mission diplomatique de l'Etat ou de ses postes consulaires, de ses missions spéciales, de ses missions auprès des organisations internationales, ou de ses délégations dans les organes des organisations internationales ou aux conférences internationales ; </w:t>
      </w:r>
      <w:r w:rsidRPr="002A7C4F">
        <w:rPr>
          <w:rFonts w:ascii="Arial" w:hAnsi="Arial" w:cs="Arial"/>
          <w:sz w:val="22"/>
          <w:szCs w:val="22"/>
        </w:rPr>
        <w:br/>
        <w:t xml:space="preserve">b) Les biens de caractère militaire ou les biens utilisés ou destinés à être utilisés dans l'exercice des fonctions militaires ; </w:t>
      </w:r>
      <w:r w:rsidRPr="002A7C4F">
        <w:rPr>
          <w:rFonts w:ascii="Arial" w:hAnsi="Arial" w:cs="Arial"/>
          <w:sz w:val="22"/>
          <w:szCs w:val="22"/>
        </w:rPr>
        <w:br/>
        <w:t xml:space="preserve">c) Les biens faisant partie du patrimoine culturel de l'Etat ou de ses archives qui ne sont pas mis ou destinés à être mis en vente ; </w:t>
      </w:r>
      <w:r w:rsidRPr="002A7C4F">
        <w:rPr>
          <w:rFonts w:ascii="Arial" w:hAnsi="Arial" w:cs="Arial"/>
          <w:sz w:val="22"/>
          <w:szCs w:val="22"/>
        </w:rPr>
        <w:br/>
        <w:t xml:space="preserve">d) Les biens faisant partie d'une exposition d'objet d'intérêt scientifique, culturel ou historique qui ne sont pas mis ou destinés à être mis en vente ; </w:t>
      </w:r>
      <w:r w:rsidRPr="002A7C4F">
        <w:rPr>
          <w:rFonts w:ascii="Arial" w:hAnsi="Arial" w:cs="Arial"/>
          <w:sz w:val="22"/>
          <w:szCs w:val="22"/>
        </w:rPr>
        <w:br/>
        <w:t xml:space="preserve">e) Les créances fiscales ou sociales de l'Etat. </w:t>
      </w:r>
    </w:p>
    <w:p w14:paraId="6B8D3F3B" w14:textId="77777777" w:rsidR="002A7C4F" w:rsidRPr="002A7C4F" w:rsidRDefault="002A7C4F" w:rsidP="002A7C4F">
      <w:pPr>
        <w:pStyle w:val="NormalWeb"/>
        <w:spacing w:before="0" w:beforeAutospacing="0" w:after="0" w:afterAutospacing="0"/>
        <w:rPr>
          <w:rFonts w:ascii="Arial" w:hAnsi="Arial" w:cs="Arial"/>
          <w:sz w:val="22"/>
          <w:szCs w:val="22"/>
        </w:rPr>
      </w:pPr>
    </w:p>
    <w:p w14:paraId="24BFA0A3" w14:textId="77777777" w:rsidR="002A7C4F" w:rsidRPr="002A7C4F" w:rsidRDefault="009C5AFD" w:rsidP="002A7C4F">
      <w:pPr>
        <w:pStyle w:val="name-article"/>
        <w:spacing w:before="0" w:beforeAutospacing="0" w:after="0" w:afterAutospacing="0"/>
        <w:rPr>
          <w:rFonts w:ascii="Arial" w:hAnsi="Arial" w:cs="Arial"/>
          <w:sz w:val="22"/>
          <w:szCs w:val="22"/>
        </w:rPr>
      </w:pPr>
      <w:hyperlink r:id="rId10" w:history="1">
        <w:r w:rsidR="002A7C4F" w:rsidRPr="002A7C4F">
          <w:rPr>
            <w:rStyle w:val="Lienhypertexte"/>
            <w:rFonts w:ascii="Arial" w:hAnsi="Arial" w:cs="Arial"/>
            <w:color w:val="auto"/>
            <w:sz w:val="22"/>
            <w:szCs w:val="22"/>
            <w:u w:val="none"/>
          </w:rPr>
          <w:t>Article L111-1-3</w:t>
        </w:r>
      </w:hyperlink>
    </w:p>
    <w:p w14:paraId="66825DC3" w14:textId="77777777" w:rsidR="002A7C4F" w:rsidRPr="002A7C4F" w:rsidRDefault="002A7C4F" w:rsidP="002A7C4F">
      <w:pPr>
        <w:pStyle w:val="NormalWeb"/>
        <w:spacing w:before="0" w:beforeAutospacing="0" w:after="0" w:afterAutospacing="0"/>
        <w:rPr>
          <w:rFonts w:ascii="Arial" w:hAnsi="Arial" w:cs="Arial"/>
          <w:sz w:val="22"/>
          <w:szCs w:val="22"/>
        </w:rPr>
      </w:pPr>
      <w:r w:rsidRPr="002A7C4F">
        <w:rPr>
          <w:rFonts w:ascii="Arial" w:hAnsi="Arial" w:cs="Arial"/>
          <w:sz w:val="22"/>
          <w:szCs w:val="22"/>
        </w:rPr>
        <w:t>Des mesures conservatoires ou des mesures d'exécution forcée ne peuvent être mises en œuvre sur les biens, y compris les comptes bancaires, utilisés ou destinés à être utilisés dans l'exercice des fonctions de la mission diplomatique des Etats étrangers ou de leurs postes consulaires, de leurs missions spéciales ou de leurs missions auprès des organisations internationales qu'en cas de renonciation expresse et spéciale des Etats concernés.</w:t>
      </w:r>
    </w:p>
    <w:p w14:paraId="3253E5CC" w14:textId="77777777" w:rsidR="002A7C4F" w:rsidRPr="008D3D44" w:rsidRDefault="002A7C4F" w:rsidP="00C62AB8">
      <w:pPr>
        <w:rPr>
          <w:rFonts w:ascii="Arial" w:hAnsi="Arial" w:cs="Arial"/>
        </w:rPr>
      </w:pPr>
    </w:p>
    <w:p w14:paraId="57A3826C" w14:textId="77777777" w:rsidR="00BF393C" w:rsidRPr="00CF5AD9" w:rsidRDefault="00CF5AD9" w:rsidP="00CB096B">
      <w:pPr>
        <w:jc w:val="center"/>
        <w:rPr>
          <w:rFonts w:ascii="Arial" w:hAnsi="Arial" w:cs="Arial"/>
          <w:sz w:val="22"/>
          <w:szCs w:val="22"/>
        </w:rPr>
      </w:pPr>
      <w:r w:rsidRPr="00CF5AD9">
        <w:rPr>
          <w:rFonts w:ascii="Arial" w:hAnsi="Arial" w:cs="Arial"/>
          <w:sz w:val="22"/>
          <w:szCs w:val="22"/>
        </w:rPr>
        <w:t>_________________</w:t>
      </w:r>
    </w:p>
    <w:sectPr w:rsidR="00BF393C" w:rsidRPr="00CF5AD9">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83116" w14:textId="77777777" w:rsidR="00700A88" w:rsidRDefault="00700A88" w:rsidP="00CF5AD9">
      <w:r>
        <w:separator/>
      </w:r>
    </w:p>
  </w:endnote>
  <w:endnote w:type="continuationSeparator" w:id="0">
    <w:p w14:paraId="209DEB90" w14:textId="77777777" w:rsidR="00700A88" w:rsidRDefault="00700A88" w:rsidP="00CF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E00002FF" w:usb1="5000785B" w:usb2="00000000" w:usb3="00000000" w:csb0="0000019F" w:csb1="00000000"/>
  </w:font>
  <w:font w:name="Palatino">
    <w:panose1 w:val="02040502050505030304"/>
    <w:charset w:val="00"/>
    <w:family w:val="roman"/>
    <w:pitch w:val="variable"/>
    <w:sig w:usb0="00000007" w:usb1="00000000" w:usb2="00000000" w:usb3="00000000" w:csb0="00000093" w:csb1="00000000"/>
  </w:font>
  <w:font w:name="Times">
    <w:panose1 w:val="0202060306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171216072"/>
      <w:docPartObj>
        <w:docPartGallery w:val="Page Numbers (Bottom of Page)"/>
        <w:docPartUnique/>
      </w:docPartObj>
    </w:sdtPr>
    <w:sdtEndPr>
      <w:rPr>
        <w:rStyle w:val="Numrodepage"/>
      </w:rPr>
    </w:sdtEndPr>
    <w:sdtContent>
      <w:p w14:paraId="17F27F09" w14:textId="77777777" w:rsidR="00CF5AD9" w:rsidRDefault="00CF5AD9" w:rsidP="0026410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D003F54" w14:textId="77777777" w:rsidR="00CF5AD9" w:rsidRDefault="00CF5AD9" w:rsidP="00CF5A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59068547"/>
      <w:docPartObj>
        <w:docPartGallery w:val="Page Numbers (Bottom of Page)"/>
        <w:docPartUnique/>
      </w:docPartObj>
    </w:sdtPr>
    <w:sdtEndPr>
      <w:rPr>
        <w:rStyle w:val="Numrodepage"/>
      </w:rPr>
    </w:sdtEndPr>
    <w:sdtContent>
      <w:p w14:paraId="61F11618" w14:textId="2C9F9CB2" w:rsidR="00CF5AD9" w:rsidRDefault="00CF5AD9" w:rsidP="0026410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9C5AFD">
          <w:rPr>
            <w:rStyle w:val="Numrodepage"/>
            <w:noProof/>
          </w:rPr>
          <w:t>5</w:t>
        </w:r>
        <w:r>
          <w:rPr>
            <w:rStyle w:val="Numrodepage"/>
          </w:rPr>
          <w:fldChar w:fldCharType="end"/>
        </w:r>
        <w:r w:rsidR="00FC6AD9">
          <w:rPr>
            <w:rStyle w:val="Numrodepage"/>
          </w:rPr>
          <w:t>/5</w:t>
        </w:r>
      </w:p>
    </w:sdtContent>
  </w:sdt>
  <w:p w14:paraId="78E98C81" w14:textId="77777777" w:rsidR="00CF5AD9" w:rsidRDefault="00CF5AD9" w:rsidP="00CF5AD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F55BB" w14:textId="77777777" w:rsidR="00700A88" w:rsidRDefault="00700A88" w:rsidP="00CF5AD9">
      <w:r>
        <w:separator/>
      </w:r>
    </w:p>
  </w:footnote>
  <w:footnote w:type="continuationSeparator" w:id="0">
    <w:p w14:paraId="0FBF3C92" w14:textId="77777777" w:rsidR="00700A88" w:rsidRDefault="00700A88" w:rsidP="00CF5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629B5"/>
    <w:multiLevelType w:val="hybridMultilevel"/>
    <w:tmpl w:val="A0708E2E"/>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893177"/>
    <w:multiLevelType w:val="multilevel"/>
    <w:tmpl w:val="A0E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B8"/>
    <w:rsid w:val="00063178"/>
    <w:rsid w:val="000B17B4"/>
    <w:rsid w:val="000C2206"/>
    <w:rsid w:val="000C7381"/>
    <w:rsid w:val="00110FE2"/>
    <w:rsid w:val="00136B1A"/>
    <w:rsid w:val="00143911"/>
    <w:rsid w:val="001F75EF"/>
    <w:rsid w:val="0021699C"/>
    <w:rsid w:val="00230714"/>
    <w:rsid w:val="00230806"/>
    <w:rsid w:val="002374E7"/>
    <w:rsid w:val="002A7C4F"/>
    <w:rsid w:val="002E62DB"/>
    <w:rsid w:val="003173C6"/>
    <w:rsid w:val="00323D2A"/>
    <w:rsid w:val="00325FF0"/>
    <w:rsid w:val="003B417D"/>
    <w:rsid w:val="003D3453"/>
    <w:rsid w:val="003F6B13"/>
    <w:rsid w:val="004011DC"/>
    <w:rsid w:val="004A6D5C"/>
    <w:rsid w:val="004D67F8"/>
    <w:rsid w:val="004F6AF8"/>
    <w:rsid w:val="005963D1"/>
    <w:rsid w:val="005F106F"/>
    <w:rsid w:val="00613B75"/>
    <w:rsid w:val="006537B2"/>
    <w:rsid w:val="00654C41"/>
    <w:rsid w:val="0065630A"/>
    <w:rsid w:val="006706BC"/>
    <w:rsid w:val="00695ADA"/>
    <w:rsid w:val="006B3613"/>
    <w:rsid w:val="006E78FF"/>
    <w:rsid w:val="00700A88"/>
    <w:rsid w:val="00707662"/>
    <w:rsid w:val="00713CBE"/>
    <w:rsid w:val="00744F17"/>
    <w:rsid w:val="007E7823"/>
    <w:rsid w:val="00831B60"/>
    <w:rsid w:val="00835FE5"/>
    <w:rsid w:val="00885A01"/>
    <w:rsid w:val="00891FAF"/>
    <w:rsid w:val="008D3D44"/>
    <w:rsid w:val="008E6225"/>
    <w:rsid w:val="008F5CF9"/>
    <w:rsid w:val="00940555"/>
    <w:rsid w:val="00944A74"/>
    <w:rsid w:val="009563BA"/>
    <w:rsid w:val="009C5AFD"/>
    <w:rsid w:val="009D34B2"/>
    <w:rsid w:val="00A221A0"/>
    <w:rsid w:val="00A61496"/>
    <w:rsid w:val="00A92ADC"/>
    <w:rsid w:val="00A93AAB"/>
    <w:rsid w:val="00AB6A7C"/>
    <w:rsid w:val="00AE726E"/>
    <w:rsid w:val="00B53E61"/>
    <w:rsid w:val="00BB4C4E"/>
    <w:rsid w:val="00BC158A"/>
    <w:rsid w:val="00BC2842"/>
    <w:rsid w:val="00BF393C"/>
    <w:rsid w:val="00C62AB8"/>
    <w:rsid w:val="00CB096B"/>
    <w:rsid w:val="00CD2095"/>
    <w:rsid w:val="00CF5AD9"/>
    <w:rsid w:val="00D44B3D"/>
    <w:rsid w:val="00DA5B80"/>
    <w:rsid w:val="00DE5D57"/>
    <w:rsid w:val="00E73D43"/>
    <w:rsid w:val="00EF2DF2"/>
    <w:rsid w:val="00F51977"/>
    <w:rsid w:val="00FC6AD9"/>
    <w:rsid w:val="00FF179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2F2F9"/>
  <w15:docId w15:val="{B41A4676-C554-47BB-B668-E7DB0C6E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F5AD9"/>
    <w:rPr>
      <w:sz w:val="20"/>
      <w:szCs w:val="20"/>
      <w:lang w:eastAsia="zh-CN"/>
    </w:rPr>
  </w:style>
  <w:style w:type="character" w:customStyle="1" w:styleId="NotedebasdepageCar">
    <w:name w:val="Note de bas de page Car"/>
    <w:basedOn w:val="Policepardfaut"/>
    <w:link w:val="Notedebasdepage"/>
    <w:uiPriority w:val="99"/>
    <w:semiHidden/>
    <w:rsid w:val="00CF5AD9"/>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CF5AD9"/>
    <w:rPr>
      <w:vertAlign w:val="superscript"/>
    </w:rPr>
  </w:style>
  <w:style w:type="paragraph" w:styleId="Paragraphedeliste">
    <w:name w:val="List Paragraph"/>
    <w:basedOn w:val="Normal"/>
    <w:uiPriority w:val="34"/>
    <w:qFormat/>
    <w:rsid w:val="00CF5AD9"/>
    <w:pPr>
      <w:ind w:left="720"/>
      <w:contextualSpacing/>
    </w:pPr>
    <w:rPr>
      <w:lang w:eastAsia="zh-CN"/>
    </w:rPr>
  </w:style>
  <w:style w:type="paragraph" w:customStyle="1" w:styleId="DIPCourscitation">
    <w:name w:val="DIP Cours citation"/>
    <w:basedOn w:val="Normal"/>
    <w:autoRedefine/>
    <w:qFormat/>
    <w:rsid w:val="00CF5AD9"/>
    <w:pPr>
      <w:ind w:left="1418" w:right="702" w:firstLine="283"/>
      <w:jc w:val="both"/>
    </w:pPr>
    <w:rPr>
      <w:rFonts w:asciiTheme="minorHAnsi" w:eastAsiaTheme="minorHAnsi" w:hAnsiTheme="minorHAnsi" w:cs="Helvetica"/>
      <w:szCs w:val="16"/>
      <w:lang w:eastAsia="en-US"/>
    </w:rPr>
  </w:style>
  <w:style w:type="paragraph" w:styleId="Pieddepage">
    <w:name w:val="footer"/>
    <w:basedOn w:val="Normal"/>
    <w:link w:val="PieddepageCar"/>
    <w:uiPriority w:val="99"/>
    <w:unhideWhenUsed/>
    <w:rsid w:val="00CF5AD9"/>
    <w:pPr>
      <w:tabs>
        <w:tab w:val="center" w:pos="4536"/>
        <w:tab w:val="right" w:pos="9072"/>
      </w:tabs>
    </w:pPr>
  </w:style>
  <w:style w:type="character" w:customStyle="1" w:styleId="PieddepageCar">
    <w:name w:val="Pied de page Car"/>
    <w:basedOn w:val="Policepardfaut"/>
    <w:link w:val="Pieddepage"/>
    <w:uiPriority w:val="99"/>
    <w:rsid w:val="00CF5AD9"/>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CF5AD9"/>
  </w:style>
  <w:style w:type="paragraph" w:customStyle="1" w:styleId="Citationcours">
    <w:name w:val="Citation cours"/>
    <w:basedOn w:val="Normal"/>
    <w:rsid w:val="006537B2"/>
    <w:pPr>
      <w:ind w:left="1134" w:right="565" w:firstLine="567"/>
      <w:jc w:val="both"/>
    </w:pPr>
    <w:rPr>
      <w:rFonts w:ascii="Palatino" w:eastAsia="Times" w:hAnsi="Palatino"/>
      <w:szCs w:val="20"/>
    </w:rPr>
  </w:style>
  <w:style w:type="paragraph" w:customStyle="1" w:styleId="Cours">
    <w:name w:val="Cours"/>
    <w:basedOn w:val="Normal"/>
    <w:rsid w:val="006537B2"/>
    <w:pPr>
      <w:ind w:left="567" w:firstLine="567"/>
      <w:jc w:val="both"/>
    </w:pPr>
    <w:rPr>
      <w:rFonts w:ascii="Garamond" w:eastAsia="Times" w:hAnsi="Garamond"/>
      <w:sz w:val="28"/>
      <w:szCs w:val="20"/>
    </w:rPr>
  </w:style>
  <w:style w:type="paragraph" w:customStyle="1" w:styleId="name-article">
    <w:name w:val="name-article"/>
    <w:basedOn w:val="Normal"/>
    <w:rsid w:val="002A7C4F"/>
    <w:pPr>
      <w:spacing w:before="100" w:beforeAutospacing="1" w:after="100" w:afterAutospacing="1"/>
    </w:pPr>
    <w:rPr>
      <w:lang w:eastAsia="zh-CN"/>
    </w:rPr>
  </w:style>
  <w:style w:type="character" w:styleId="Lienhypertexte">
    <w:name w:val="Hyperlink"/>
    <w:basedOn w:val="Policepardfaut"/>
    <w:uiPriority w:val="99"/>
    <w:semiHidden/>
    <w:unhideWhenUsed/>
    <w:rsid w:val="002A7C4F"/>
    <w:rPr>
      <w:color w:val="0000FF"/>
      <w:u w:val="single"/>
    </w:rPr>
  </w:style>
  <w:style w:type="paragraph" w:customStyle="1" w:styleId="Date1">
    <w:name w:val="Date1"/>
    <w:basedOn w:val="Normal"/>
    <w:rsid w:val="002A7C4F"/>
    <w:pPr>
      <w:spacing w:before="100" w:beforeAutospacing="1" w:after="100" w:afterAutospacing="1"/>
    </w:pPr>
    <w:rPr>
      <w:lang w:eastAsia="zh-CN"/>
    </w:rPr>
  </w:style>
  <w:style w:type="paragraph" w:styleId="NormalWeb">
    <w:name w:val="Normal (Web)"/>
    <w:basedOn w:val="Normal"/>
    <w:uiPriority w:val="99"/>
    <w:semiHidden/>
    <w:unhideWhenUsed/>
    <w:rsid w:val="002A7C4F"/>
    <w:pPr>
      <w:spacing w:before="100" w:beforeAutospacing="1" w:after="100" w:afterAutospacing="1"/>
    </w:pPr>
    <w:rPr>
      <w:lang w:eastAsia="zh-CN"/>
    </w:rPr>
  </w:style>
  <w:style w:type="paragraph" w:customStyle="1" w:styleId="version-article">
    <w:name w:val="version-article"/>
    <w:basedOn w:val="Normal"/>
    <w:rsid w:val="002A7C4F"/>
    <w:pPr>
      <w:spacing w:before="100" w:beforeAutospacing="1" w:after="100" w:afterAutospacing="1"/>
    </w:pPr>
    <w:rPr>
      <w:lang w:eastAsia="zh-CN"/>
    </w:rPr>
  </w:style>
  <w:style w:type="paragraph" w:styleId="En-tte">
    <w:name w:val="header"/>
    <w:basedOn w:val="Normal"/>
    <w:link w:val="En-tteCar"/>
    <w:uiPriority w:val="99"/>
    <w:unhideWhenUsed/>
    <w:rsid w:val="00FC6AD9"/>
    <w:pPr>
      <w:tabs>
        <w:tab w:val="center" w:pos="4536"/>
        <w:tab w:val="right" w:pos="9072"/>
      </w:tabs>
    </w:pPr>
  </w:style>
  <w:style w:type="character" w:customStyle="1" w:styleId="En-tteCar">
    <w:name w:val="En-tête Car"/>
    <w:basedOn w:val="Policepardfaut"/>
    <w:link w:val="En-tte"/>
    <w:uiPriority w:val="99"/>
    <w:rsid w:val="00FC6AD9"/>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258793">
      <w:bodyDiv w:val="1"/>
      <w:marLeft w:val="0"/>
      <w:marRight w:val="0"/>
      <w:marTop w:val="0"/>
      <w:marBottom w:val="0"/>
      <w:divBdr>
        <w:top w:val="none" w:sz="0" w:space="0" w:color="auto"/>
        <w:left w:val="none" w:sz="0" w:space="0" w:color="auto"/>
        <w:bottom w:val="none" w:sz="0" w:space="0" w:color="auto"/>
        <w:right w:val="none" w:sz="0" w:space="0" w:color="auto"/>
      </w:divBdr>
      <w:divsChild>
        <w:div w:id="2002392258">
          <w:marLeft w:val="0"/>
          <w:marRight w:val="0"/>
          <w:marTop w:val="0"/>
          <w:marBottom w:val="0"/>
          <w:divBdr>
            <w:top w:val="none" w:sz="0" w:space="0" w:color="auto"/>
            <w:left w:val="none" w:sz="0" w:space="0" w:color="auto"/>
            <w:bottom w:val="none" w:sz="0" w:space="0" w:color="auto"/>
            <w:right w:val="none" w:sz="0" w:space="0" w:color="auto"/>
          </w:divBdr>
          <w:divsChild>
            <w:div w:id="1567497164">
              <w:marLeft w:val="0"/>
              <w:marRight w:val="0"/>
              <w:marTop w:val="0"/>
              <w:marBottom w:val="0"/>
              <w:divBdr>
                <w:top w:val="none" w:sz="0" w:space="0" w:color="auto"/>
                <w:left w:val="none" w:sz="0" w:space="0" w:color="auto"/>
                <w:bottom w:val="none" w:sz="0" w:space="0" w:color="auto"/>
                <w:right w:val="none" w:sz="0" w:space="0" w:color="auto"/>
              </w:divBdr>
            </w:div>
          </w:divsChild>
        </w:div>
        <w:div w:id="1401519687">
          <w:marLeft w:val="0"/>
          <w:marRight w:val="0"/>
          <w:marTop w:val="0"/>
          <w:marBottom w:val="0"/>
          <w:divBdr>
            <w:top w:val="none" w:sz="0" w:space="0" w:color="auto"/>
            <w:left w:val="none" w:sz="0" w:space="0" w:color="auto"/>
            <w:bottom w:val="none" w:sz="0" w:space="0" w:color="auto"/>
            <w:right w:val="none" w:sz="0" w:space="0" w:color="auto"/>
          </w:divBdr>
        </w:div>
      </w:divsChild>
    </w:div>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1043948404">
      <w:bodyDiv w:val="1"/>
      <w:marLeft w:val="0"/>
      <w:marRight w:val="0"/>
      <w:marTop w:val="0"/>
      <w:marBottom w:val="0"/>
      <w:divBdr>
        <w:top w:val="none" w:sz="0" w:space="0" w:color="auto"/>
        <w:left w:val="none" w:sz="0" w:space="0" w:color="auto"/>
        <w:bottom w:val="none" w:sz="0" w:space="0" w:color="auto"/>
        <w:right w:val="none" w:sz="0" w:space="0" w:color="auto"/>
      </w:divBdr>
      <w:divsChild>
        <w:div w:id="167909602">
          <w:marLeft w:val="0"/>
          <w:marRight w:val="0"/>
          <w:marTop w:val="0"/>
          <w:marBottom w:val="0"/>
          <w:divBdr>
            <w:top w:val="none" w:sz="0" w:space="0" w:color="auto"/>
            <w:left w:val="none" w:sz="0" w:space="0" w:color="auto"/>
            <w:bottom w:val="none" w:sz="0" w:space="0" w:color="auto"/>
            <w:right w:val="none" w:sz="0" w:space="0" w:color="auto"/>
          </w:divBdr>
        </w:div>
        <w:div w:id="604388538">
          <w:marLeft w:val="0"/>
          <w:marRight w:val="0"/>
          <w:marTop w:val="0"/>
          <w:marBottom w:val="0"/>
          <w:divBdr>
            <w:top w:val="none" w:sz="0" w:space="0" w:color="auto"/>
            <w:left w:val="none" w:sz="0" w:space="0" w:color="auto"/>
            <w:bottom w:val="none" w:sz="0" w:space="0" w:color="auto"/>
            <w:right w:val="none" w:sz="0" w:space="0" w:color="auto"/>
          </w:divBdr>
        </w:div>
      </w:divsChild>
    </w:div>
    <w:div w:id="1786805810">
      <w:bodyDiv w:val="1"/>
      <w:marLeft w:val="0"/>
      <w:marRight w:val="0"/>
      <w:marTop w:val="0"/>
      <w:marBottom w:val="0"/>
      <w:divBdr>
        <w:top w:val="none" w:sz="0" w:space="0" w:color="auto"/>
        <w:left w:val="none" w:sz="0" w:space="0" w:color="auto"/>
        <w:bottom w:val="none" w:sz="0" w:space="0" w:color="auto"/>
        <w:right w:val="none" w:sz="0" w:space="0" w:color="auto"/>
      </w:divBdr>
      <w:divsChild>
        <w:div w:id="979766371">
          <w:marLeft w:val="0"/>
          <w:marRight w:val="0"/>
          <w:marTop w:val="0"/>
          <w:marBottom w:val="0"/>
          <w:divBdr>
            <w:top w:val="none" w:sz="0" w:space="0" w:color="auto"/>
            <w:left w:val="none" w:sz="0" w:space="0" w:color="auto"/>
            <w:bottom w:val="none" w:sz="0" w:space="0" w:color="auto"/>
            <w:right w:val="none" w:sz="0" w:space="0" w:color="auto"/>
          </w:divBdr>
        </w:div>
        <w:div w:id="760107747">
          <w:marLeft w:val="0"/>
          <w:marRight w:val="0"/>
          <w:marTop w:val="0"/>
          <w:marBottom w:val="0"/>
          <w:divBdr>
            <w:top w:val="none" w:sz="0" w:space="0" w:color="auto"/>
            <w:left w:val="none" w:sz="0" w:space="0" w:color="auto"/>
            <w:bottom w:val="none" w:sz="0" w:space="0" w:color="auto"/>
            <w:right w:val="none" w:sz="0" w:space="0" w:color="auto"/>
          </w:divBdr>
        </w:div>
      </w:divsChild>
    </w:div>
    <w:div w:id="1822580707">
      <w:bodyDiv w:val="1"/>
      <w:marLeft w:val="0"/>
      <w:marRight w:val="0"/>
      <w:marTop w:val="0"/>
      <w:marBottom w:val="0"/>
      <w:divBdr>
        <w:top w:val="none" w:sz="0" w:space="0" w:color="auto"/>
        <w:left w:val="none" w:sz="0" w:space="0" w:color="auto"/>
        <w:bottom w:val="none" w:sz="0" w:space="0" w:color="auto"/>
        <w:right w:val="none" w:sz="0" w:space="0" w:color="auto"/>
      </w:divBdr>
      <w:divsChild>
        <w:div w:id="582034689">
          <w:marLeft w:val="0"/>
          <w:marRight w:val="0"/>
          <w:marTop w:val="0"/>
          <w:marBottom w:val="0"/>
          <w:divBdr>
            <w:top w:val="none" w:sz="0" w:space="0" w:color="auto"/>
            <w:left w:val="none" w:sz="0" w:space="0" w:color="auto"/>
            <w:bottom w:val="none" w:sz="0" w:space="0" w:color="auto"/>
            <w:right w:val="none" w:sz="0" w:space="0" w:color="auto"/>
          </w:divBdr>
        </w:div>
        <w:div w:id="528376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33563436?etatTexte=VIGUEUR&amp;etatTexte=VIGUEUR_DIF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article_lc/LEGIARTI000025025642?etatTexte=VIGUEUR&amp;etatTexte=VIGUEUR_DIF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egifrance.gouv.fr/codes/article_lc/LEGIARTI000033563440?etatTexte=VIGUEUR&amp;etatTexte=VIGUEUR_DIFF"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33563438?etatTexte=VIGUEUR&amp;etatTexte=VIGUEUR_DIF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2187</Words>
  <Characters>12033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10</cp:revision>
  <dcterms:created xsi:type="dcterms:W3CDTF">2022-11-30T13:18:00Z</dcterms:created>
  <dcterms:modified xsi:type="dcterms:W3CDTF">2022-12-01T16:02:00Z</dcterms:modified>
</cp:coreProperties>
</file>