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BD7E0" w14:textId="77777777" w:rsidR="00944A74" w:rsidRDefault="00944A74" w:rsidP="00944A74">
      <w:pPr>
        <w:widowControl w:val="0"/>
        <w:autoSpaceDE w:val="0"/>
        <w:autoSpaceDN w:val="0"/>
        <w:adjustRightInd w:val="0"/>
        <w:rPr>
          <w:sz w:val="3"/>
          <w:szCs w:val="3"/>
        </w:rPr>
      </w:pPr>
    </w:p>
    <w:p w14:paraId="68257CB2"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012DAE15" w14:textId="77777777" w:rsidR="00944A74" w:rsidRDefault="00944A74" w:rsidP="00944A74">
      <w:pPr>
        <w:widowControl w:val="0"/>
        <w:autoSpaceDE w:val="0"/>
        <w:autoSpaceDN w:val="0"/>
        <w:adjustRightInd w:val="0"/>
        <w:rPr>
          <w:rFonts w:ascii="Arial" w:hAnsi="Arial" w:cs="Arial"/>
          <w:b/>
          <w:bCs/>
          <w:color w:val="000000"/>
          <w:sz w:val="20"/>
          <w:szCs w:val="20"/>
        </w:rPr>
      </w:pPr>
    </w:p>
    <w:p w14:paraId="507C00F1" w14:textId="77777777" w:rsidR="00944A74" w:rsidRDefault="00944A74" w:rsidP="00944A74">
      <w:pPr>
        <w:widowControl w:val="0"/>
        <w:autoSpaceDE w:val="0"/>
        <w:autoSpaceDN w:val="0"/>
        <w:adjustRightInd w:val="0"/>
        <w:rPr>
          <w:rFonts w:ascii="Arial" w:hAnsi="Arial" w:cs="Arial"/>
          <w:b/>
          <w:bCs/>
          <w:color w:val="000000"/>
          <w:sz w:val="8"/>
          <w:szCs w:val="8"/>
        </w:rPr>
      </w:pPr>
    </w:p>
    <w:p w14:paraId="403D08ED" w14:textId="3164507B" w:rsidR="00944A74" w:rsidRDefault="00944A74" w:rsidP="00944A74">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0D6B58">
        <w:t>L13114AC</w:t>
      </w:r>
    </w:p>
    <w:p w14:paraId="008C3635" w14:textId="77777777" w:rsidR="00944A74" w:rsidRDefault="00944A74" w:rsidP="00944A74">
      <w:pPr>
        <w:widowControl w:val="0"/>
        <w:autoSpaceDE w:val="0"/>
        <w:autoSpaceDN w:val="0"/>
        <w:adjustRightInd w:val="0"/>
        <w:rPr>
          <w:rFonts w:ascii="Arial" w:hAnsi="Arial" w:cs="Arial"/>
          <w:b/>
          <w:bCs/>
          <w:color w:val="000000"/>
          <w:sz w:val="20"/>
          <w:szCs w:val="20"/>
        </w:rPr>
      </w:pPr>
    </w:p>
    <w:p w14:paraId="1E083505" w14:textId="77777777" w:rsidR="00944A74" w:rsidRDefault="00944A74" w:rsidP="00944A74">
      <w:pPr>
        <w:widowControl w:val="0"/>
        <w:autoSpaceDE w:val="0"/>
        <w:autoSpaceDN w:val="0"/>
        <w:adjustRightInd w:val="0"/>
        <w:rPr>
          <w:rFonts w:ascii="Arial" w:hAnsi="Arial" w:cs="Arial"/>
          <w:b/>
          <w:bCs/>
          <w:color w:val="000000"/>
          <w:sz w:val="15"/>
          <w:szCs w:val="15"/>
        </w:rPr>
      </w:pPr>
    </w:p>
    <w:p w14:paraId="3BE6C946"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1FC45A36" w14:textId="77777777" w:rsidR="00944A74" w:rsidRDefault="00944A74" w:rsidP="00944A74">
      <w:pPr>
        <w:widowControl w:val="0"/>
        <w:autoSpaceDE w:val="0"/>
        <w:autoSpaceDN w:val="0"/>
        <w:adjustRightInd w:val="0"/>
        <w:rPr>
          <w:rFonts w:ascii="Arial" w:hAnsi="Arial" w:cs="Arial"/>
          <w:color w:val="000000"/>
          <w:sz w:val="20"/>
          <w:szCs w:val="20"/>
        </w:rPr>
      </w:pPr>
    </w:p>
    <w:p w14:paraId="4AC58842" w14:textId="77777777" w:rsidR="00944A74" w:rsidRDefault="00944A74" w:rsidP="00944A74">
      <w:pPr>
        <w:widowControl w:val="0"/>
        <w:autoSpaceDE w:val="0"/>
        <w:autoSpaceDN w:val="0"/>
        <w:adjustRightInd w:val="0"/>
        <w:rPr>
          <w:rFonts w:ascii="Arial" w:hAnsi="Arial" w:cs="Arial"/>
          <w:color w:val="000000"/>
          <w:sz w:val="20"/>
          <w:szCs w:val="20"/>
        </w:rPr>
      </w:pPr>
    </w:p>
    <w:p w14:paraId="17092020" w14:textId="77777777" w:rsidR="00944A74" w:rsidRDefault="00944A74" w:rsidP="00944A74">
      <w:pPr>
        <w:widowControl w:val="0"/>
        <w:autoSpaceDE w:val="0"/>
        <w:autoSpaceDN w:val="0"/>
        <w:adjustRightInd w:val="0"/>
        <w:rPr>
          <w:rFonts w:ascii="Arial" w:hAnsi="Arial" w:cs="Arial"/>
          <w:color w:val="000000"/>
          <w:sz w:val="6"/>
          <w:szCs w:val="6"/>
        </w:rPr>
      </w:pPr>
    </w:p>
    <w:p w14:paraId="54221E6D"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240FA2">
        <w:rPr>
          <w:rFonts w:ascii="Arial" w:hAnsi="Arial" w:cs="Arial"/>
          <w:color w:val="000000"/>
        </w:rPr>
        <w:t>JANVIER 2023 – 1</w:t>
      </w:r>
      <w:r w:rsidR="00240FA2" w:rsidRPr="00240FA2">
        <w:rPr>
          <w:rFonts w:ascii="Arial" w:hAnsi="Arial" w:cs="Arial"/>
          <w:color w:val="000000"/>
          <w:vertAlign w:val="superscript"/>
        </w:rPr>
        <w:t>er</w:t>
      </w:r>
      <w:r w:rsidR="00240FA2">
        <w:rPr>
          <w:rFonts w:ascii="Arial" w:hAnsi="Arial" w:cs="Arial"/>
          <w:color w:val="000000"/>
        </w:rPr>
        <w:t xml:space="preserve"> semestre</w:t>
      </w:r>
    </w:p>
    <w:p w14:paraId="3BF61B48" w14:textId="77777777" w:rsidR="00944A74" w:rsidRDefault="00944A74" w:rsidP="00944A74">
      <w:pPr>
        <w:widowControl w:val="0"/>
        <w:autoSpaceDE w:val="0"/>
        <w:autoSpaceDN w:val="0"/>
        <w:adjustRightInd w:val="0"/>
        <w:rPr>
          <w:rFonts w:ascii="Arial" w:hAnsi="Arial" w:cs="Arial"/>
          <w:color w:val="000000"/>
          <w:sz w:val="20"/>
          <w:szCs w:val="20"/>
        </w:rPr>
      </w:pPr>
    </w:p>
    <w:p w14:paraId="6B817145" w14:textId="77777777" w:rsidR="00944A74" w:rsidRDefault="00944A74" w:rsidP="00944A74">
      <w:pPr>
        <w:widowControl w:val="0"/>
        <w:autoSpaceDE w:val="0"/>
        <w:autoSpaceDN w:val="0"/>
        <w:adjustRightInd w:val="0"/>
        <w:rPr>
          <w:rFonts w:ascii="Arial" w:hAnsi="Arial" w:cs="Arial"/>
          <w:color w:val="000000"/>
          <w:sz w:val="20"/>
          <w:szCs w:val="20"/>
        </w:rPr>
      </w:pPr>
    </w:p>
    <w:p w14:paraId="5FE35548" w14:textId="77777777" w:rsidR="00944A74" w:rsidRDefault="00944A74" w:rsidP="00944A74">
      <w:pPr>
        <w:widowControl w:val="0"/>
        <w:autoSpaceDE w:val="0"/>
        <w:autoSpaceDN w:val="0"/>
        <w:adjustRightInd w:val="0"/>
        <w:rPr>
          <w:rFonts w:ascii="Arial" w:hAnsi="Arial" w:cs="Arial"/>
          <w:color w:val="000000"/>
          <w:sz w:val="10"/>
          <w:szCs w:val="10"/>
        </w:rPr>
      </w:pPr>
    </w:p>
    <w:p w14:paraId="2F4B96AE" w14:textId="6CAF266C" w:rsidR="00944A74" w:rsidRPr="00EC592B" w:rsidRDefault="00944A74" w:rsidP="00944A74">
      <w:pPr>
        <w:widowControl w:val="0"/>
        <w:tabs>
          <w:tab w:val="left" w:pos="56"/>
          <w:tab w:val="left" w:pos="2688"/>
        </w:tabs>
        <w:autoSpaceDE w:val="0"/>
        <w:autoSpaceDN w:val="0"/>
        <w:adjustRightInd w:val="0"/>
        <w:rPr>
          <w:rFonts w:ascii="Arial" w:hAnsi="Arial" w:cs="Arial"/>
          <w:color w:val="000000"/>
        </w:rPr>
      </w:pPr>
      <w:r w:rsidRPr="00EC592B">
        <w:rPr>
          <w:rFonts w:ascii="Arial" w:hAnsi="Arial" w:cs="Arial"/>
        </w:rPr>
        <w:tab/>
      </w:r>
      <w:r w:rsidRPr="00EC592B">
        <w:rPr>
          <w:rFonts w:ascii="Arial" w:hAnsi="Arial" w:cs="Arial"/>
          <w:b/>
          <w:bCs/>
          <w:color w:val="000000"/>
        </w:rPr>
        <w:t xml:space="preserve">Année d'étude : </w:t>
      </w:r>
      <w:r w:rsidRPr="00EC592B">
        <w:rPr>
          <w:rFonts w:ascii="Arial" w:hAnsi="Arial" w:cs="Arial"/>
        </w:rPr>
        <w:tab/>
      </w:r>
      <w:r w:rsidR="00EC592B" w:rsidRPr="00EC592B">
        <w:rPr>
          <w:rFonts w:ascii="Arial" w:hAnsi="Arial" w:cs="Arial"/>
          <w:b/>
          <w:bCs/>
        </w:rPr>
        <w:t>Licence 3</w:t>
      </w:r>
    </w:p>
    <w:p w14:paraId="01E05DCB" w14:textId="77777777" w:rsidR="00944A74" w:rsidRDefault="00944A74" w:rsidP="00944A74">
      <w:pPr>
        <w:widowControl w:val="0"/>
        <w:autoSpaceDE w:val="0"/>
        <w:autoSpaceDN w:val="0"/>
        <w:adjustRightInd w:val="0"/>
        <w:rPr>
          <w:rFonts w:ascii="Arial" w:hAnsi="Arial" w:cs="Arial"/>
          <w:color w:val="000000"/>
          <w:sz w:val="20"/>
          <w:szCs w:val="20"/>
        </w:rPr>
      </w:pPr>
    </w:p>
    <w:p w14:paraId="177ADA4A" w14:textId="77777777" w:rsidR="00944A74" w:rsidRDefault="00944A74" w:rsidP="00944A74">
      <w:pPr>
        <w:widowControl w:val="0"/>
        <w:autoSpaceDE w:val="0"/>
        <w:autoSpaceDN w:val="0"/>
        <w:adjustRightInd w:val="0"/>
        <w:rPr>
          <w:rFonts w:ascii="Arial" w:hAnsi="Arial" w:cs="Arial"/>
          <w:color w:val="000000"/>
          <w:sz w:val="20"/>
          <w:szCs w:val="20"/>
        </w:rPr>
      </w:pPr>
    </w:p>
    <w:p w14:paraId="5F14FC6F" w14:textId="77777777" w:rsidR="00944A74" w:rsidRDefault="00944A74" w:rsidP="00944A74">
      <w:pPr>
        <w:widowControl w:val="0"/>
        <w:autoSpaceDE w:val="0"/>
        <w:autoSpaceDN w:val="0"/>
        <w:adjustRightInd w:val="0"/>
        <w:rPr>
          <w:rFonts w:ascii="Arial" w:hAnsi="Arial" w:cs="Arial"/>
          <w:color w:val="000000"/>
          <w:sz w:val="12"/>
          <w:szCs w:val="12"/>
        </w:rPr>
      </w:pPr>
    </w:p>
    <w:p w14:paraId="43251DF8" w14:textId="4EA087CC" w:rsidR="00944A74" w:rsidRPr="00EC592B" w:rsidRDefault="00944A74" w:rsidP="00944A74">
      <w:pPr>
        <w:widowControl w:val="0"/>
        <w:tabs>
          <w:tab w:val="left" w:pos="56"/>
          <w:tab w:val="left" w:pos="2688"/>
        </w:tabs>
        <w:autoSpaceDE w:val="0"/>
        <w:autoSpaceDN w:val="0"/>
        <w:adjustRightInd w:val="0"/>
        <w:rPr>
          <w:rFonts w:ascii="Arial" w:hAnsi="Arial" w:cs="Arial"/>
          <w:b/>
          <w:bCs/>
          <w:i/>
          <w:iCs/>
          <w:color w:val="000000"/>
        </w:rPr>
      </w:pPr>
      <w:r w:rsidRPr="00EC592B">
        <w:rPr>
          <w:rFonts w:ascii="Arial" w:hAnsi="Arial" w:cs="Arial"/>
        </w:rPr>
        <w:tab/>
      </w:r>
      <w:r w:rsidRPr="00EC592B">
        <w:rPr>
          <w:rFonts w:ascii="Arial" w:hAnsi="Arial" w:cs="Arial"/>
          <w:b/>
          <w:bCs/>
          <w:color w:val="000000"/>
        </w:rPr>
        <w:t xml:space="preserve">Discipline : </w:t>
      </w:r>
      <w:r w:rsidRPr="00EC592B">
        <w:rPr>
          <w:rFonts w:ascii="Arial" w:hAnsi="Arial" w:cs="Arial"/>
        </w:rPr>
        <w:tab/>
      </w:r>
      <w:r w:rsidR="00EC592B" w:rsidRPr="00EC592B">
        <w:rPr>
          <w:rFonts w:ascii="Arial" w:hAnsi="Arial" w:cs="Arial"/>
          <w:b/>
          <w:bCs/>
        </w:rPr>
        <w:t>Histoire du droit administratif</w:t>
      </w:r>
    </w:p>
    <w:p w14:paraId="01FB7F4D" w14:textId="77777777" w:rsidR="00944A74" w:rsidRDefault="00944A74" w:rsidP="00944A74">
      <w:pPr>
        <w:widowControl w:val="0"/>
        <w:autoSpaceDE w:val="0"/>
        <w:autoSpaceDN w:val="0"/>
        <w:adjustRightInd w:val="0"/>
        <w:rPr>
          <w:b/>
          <w:bCs/>
          <w:i/>
          <w:iCs/>
          <w:color w:val="000000"/>
          <w:sz w:val="8"/>
          <w:szCs w:val="8"/>
        </w:rPr>
      </w:pPr>
    </w:p>
    <w:p w14:paraId="284F5609"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3B417D">
        <w:rPr>
          <w:sz w:val="20"/>
          <w:szCs w:val="20"/>
        </w:rPr>
        <w:t>Fondamentaux</w:t>
      </w:r>
      <w:r w:rsidR="007E7823">
        <w:rPr>
          <w:sz w:val="20"/>
          <w:szCs w:val="20"/>
        </w:rPr>
        <w:t xml:space="preserve"> 1</w:t>
      </w:r>
      <w:r w:rsidRPr="00AB6A7C">
        <w:rPr>
          <w:sz w:val="20"/>
          <w:szCs w:val="20"/>
        </w:rPr>
        <w:t>)</w:t>
      </w:r>
    </w:p>
    <w:p w14:paraId="06A45F6F"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6AEDC65E" w14:textId="77777777" w:rsidR="00944A74" w:rsidRDefault="00944A74" w:rsidP="00944A74">
      <w:pPr>
        <w:widowControl w:val="0"/>
        <w:autoSpaceDE w:val="0"/>
        <w:autoSpaceDN w:val="0"/>
        <w:adjustRightInd w:val="0"/>
        <w:rPr>
          <w:rFonts w:ascii="Arial" w:hAnsi="Arial" w:cs="Arial"/>
          <w:color w:val="000000"/>
          <w:sz w:val="20"/>
          <w:szCs w:val="20"/>
        </w:rPr>
      </w:pPr>
    </w:p>
    <w:p w14:paraId="3EDFE1F6" w14:textId="77777777" w:rsidR="00944A74" w:rsidRDefault="00944A74" w:rsidP="00944A74">
      <w:pPr>
        <w:widowControl w:val="0"/>
        <w:autoSpaceDE w:val="0"/>
        <w:autoSpaceDN w:val="0"/>
        <w:adjustRightInd w:val="0"/>
        <w:rPr>
          <w:rFonts w:ascii="Arial" w:hAnsi="Arial" w:cs="Arial"/>
          <w:color w:val="000000"/>
          <w:sz w:val="15"/>
          <w:szCs w:val="15"/>
        </w:rPr>
      </w:pPr>
    </w:p>
    <w:p w14:paraId="2DEC5DBB" w14:textId="2C134BBE" w:rsidR="00944A74" w:rsidRDefault="00944A74" w:rsidP="006E78FF">
      <w:pPr>
        <w:widowControl w:val="0"/>
        <w:tabs>
          <w:tab w:val="left" w:pos="56"/>
          <w:tab w:val="left" w:pos="2694"/>
        </w:tabs>
        <w:autoSpaceDE w:val="0"/>
        <w:autoSpaceDN w:val="0"/>
        <w:adjustRightInd w:val="0"/>
        <w:rPr>
          <w:rFonts w:ascii="Arial" w:hAnsi="Arial" w:cs="Arial"/>
          <w:b/>
          <w:bCs/>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EC592B">
        <w:rPr>
          <w:rFonts w:ascii="Arial" w:hAnsi="Arial" w:cs="Arial"/>
          <w:b/>
          <w:bCs/>
          <w:color w:val="000000"/>
        </w:rPr>
        <w:t>Laurent Pfister</w:t>
      </w:r>
    </w:p>
    <w:p w14:paraId="5FD48DB9" w14:textId="77777777" w:rsidR="00944A74" w:rsidRDefault="00944A74" w:rsidP="00944A74">
      <w:pPr>
        <w:widowControl w:val="0"/>
        <w:autoSpaceDE w:val="0"/>
        <w:autoSpaceDN w:val="0"/>
        <w:adjustRightInd w:val="0"/>
        <w:rPr>
          <w:rFonts w:ascii="Arial" w:hAnsi="Arial" w:cs="Arial"/>
          <w:b/>
          <w:bCs/>
          <w:color w:val="000000"/>
          <w:sz w:val="10"/>
          <w:szCs w:val="10"/>
        </w:rPr>
      </w:pPr>
    </w:p>
    <w:p w14:paraId="784DD449"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5CD5EBCE" w14:textId="77777777" w:rsidR="00944A74" w:rsidRDefault="00944A74" w:rsidP="00944A74">
      <w:pPr>
        <w:widowControl w:val="0"/>
        <w:autoSpaceDE w:val="0"/>
        <w:autoSpaceDN w:val="0"/>
        <w:adjustRightInd w:val="0"/>
        <w:rPr>
          <w:rFonts w:ascii="Arial" w:hAnsi="Arial" w:cs="Arial"/>
          <w:color w:val="000000"/>
          <w:sz w:val="20"/>
          <w:szCs w:val="20"/>
        </w:rPr>
      </w:pPr>
    </w:p>
    <w:p w14:paraId="15C41E46" w14:textId="42E48524"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EC592B">
        <w:rPr>
          <w:rFonts w:ascii="Arial" w:hAnsi="Arial" w:cs="Arial"/>
          <w:b/>
        </w:rPr>
        <w:t>3 heures</w:t>
      </w:r>
    </w:p>
    <w:p w14:paraId="1FCA0E24" w14:textId="77777777" w:rsidR="00110FE2" w:rsidRDefault="00110FE2" w:rsidP="00944A74">
      <w:pPr>
        <w:widowControl w:val="0"/>
        <w:tabs>
          <w:tab w:val="left" w:pos="56"/>
        </w:tabs>
        <w:autoSpaceDE w:val="0"/>
        <w:autoSpaceDN w:val="0"/>
        <w:adjustRightInd w:val="0"/>
      </w:pPr>
    </w:p>
    <w:p w14:paraId="258D4316" w14:textId="77777777" w:rsidR="00AE726E" w:rsidRDefault="00AE726E" w:rsidP="00944A74">
      <w:pPr>
        <w:widowControl w:val="0"/>
        <w:tabs>
          <w:tab w:val="left" w:pos="56"/>
        </w:tabs>
        <w:autoSpaceDE w:val="0"/>
        <w:autoSpaceDN w:val="0"/>
        <w:adjustRightInd w:val="0"/>
      </w:pPr>
    </w:p>
    <w:p w14:paraId="37536BD3" w14:textId="53C8E0E4"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Document(s) autorisé(s) :</w:t>
      </w:r>
      <w:r w:rsidR="00EC592B">
        <w:rPr>
          <w:rFonts w:ascii="Arial" w:hAnsi="Arial" w:cs="Arial"/>
          <w:b/>
          <w:bCs/>
          <w:color w:val="000000"/>
        </w:rPr>
        <w:t xml:space="preserve"> Aucun</w:t>
      </w:r>
      <w:r>
        <w:rPr>
          <w:rFonts w:ascii="Arial" w:hAnsi="Arial" w:cs="Arial"/>
          <w:b/>
          <w:bCs/>
          <w:color w:val="000000"/>
        </w:rPr>
        <w:t xml:space="preserve"> </w:t>
      </w:r>
    </w:p>
    <w:p w14:paraId="165C4669" w14:textId="77777777" w:rsidR="00C62AB8" w:rsidRDefault="00C62AB8" w:rsidP="00C62AB8"/>
    <w:p w14:paraId="6D05EBEE" w14:textId="77777777" w:rsidR="00944A74" w:rsidRDefault="00944A74" w:rsidP="00C62AB8"/>
    <w:p w14:paraId="1738F5BC" w14:textId="7EA10A6B" w:rsidR="00592525" w:rsidRPr="00A44087" w:rsidRDefault="00592525" w:rsidP="00A44087">
      <w:pPr>
        <w:jc w:val="center"/>
        <w:rPr>
          <w:rFonts w:ascii="Arial" w:hAnsi="Arial" w:cs="Arial"/>
          <w:i/>
          <w:sz w:val="22"/>
          <w:szCs w:val="22"/>
        </w:rPr>
      </w:pPr>
      <w:r w:rsidRPr="00A44087">
        <w:rPr>
          <w:rFonts w:ascii="Arial" w:hAnsi="Arial" w:cs="Arial"/>
          <w:i/>
          <w:sz w:val="22"/>
          <w:szCs w:val="22"/>
        </w:rPr>
        <w:t xml:space="preserve">Ce sujet comporte </w:t>
      </w:r>
      <w:r w:rsidR="00744FCA">
        <w:rPr>
          <w:rFonts w:ascii="Arial" w:hAnsi="Arial" w:cs="Arial"/>
          <w:i/>
          <w:sz w:val="22"/>
          <w:szCs w:val="22"/>
        </w:rPr>
        <w:t>3</w:t>
      </w:r>
      <w:r w:rsidRPr="00A44087">
        <w:rPr>
          <w:rFonts w:ascii="Arial" w:hAnsi="Arial" w:cs="Arial"/>
          <w:i/>
          <w:sz w:val="22"/>
          <w:szCs w:val="22"/>
        </w:rPr>
        <w:t xml:space="preserve"> pages. Avant de composer, veuillez vérifier que votre sujet est complet.</w:t>
      </w:r>
    </w:p>
    <w:p w14:paraId="7F37F2E7" w14:textId="77777777" w:rsidR="00944A74" w:rsidRPr="00A44087" w:rsidRDefault="00944A74" w:rsidP="00A44087">
      <w:pPr>
        <w:jc w:val="center"/>
        <w:rPr>
          <w:i/>
          <w:sz w:val="22"/>
          <w:szCs w:val="22"/>
        </w:rPr>
      </w:pPr>
    </w:p>
    <w:p w14:paraId="206E7E4F" w14:textId="77777777" w:rsidR="00944A74" w:rsidRDefault="00944A74" w:rsidP="00C62AB8"/>
    <w:p w14:paraId="49F04FE0" w14:textId="2A2F84F6" w:rsidR="00744FCA" w:rsidRDefault="00744FCA">
      <w:pPr>
        <w:spacing w:after="160" w:line="259" w:lineRule="auto"/>
      </w:pPr>
      <w:r>
        <w:br w:type="page"/>
      </w:r>
      <w:bookmarkStart w:id="0" w:name="_GoBack"/>
      <w:bookmarkEnd w:id="0"/>
    </w:p>
    <w:p w14:paraId="5C72C921" w14:textId="77777777" w:rsidR="00744FCA" w:rsidRPr="00E35010" w:rsidRDefault="00744FCA" w:rsidP="00744FCA">
      <w:pPr>
        <w:rPr>
          <w:rFonts w:ascii="Garamond" w:hAnsi="Garamond"/>
          <w:u w:val="single"/>
        </w:rPr>
      </w:pPr>
      <w:r w:rsidRPr="00E35010">
        <w:rPr>
          <w:rFonts w:ascii="Garamond" w:hAnsi="Garamond"/>
          <w:u w:val="single"/>
        </w:rPr>
        <w:lastRenderedPageBreak/>
        <w:t xml:space="preserve">Les étudiants commenteront au choix </w:t>
      </w:r>
      <w:r w:rsidRPr="00E35010">
        <w:rPr>
          <w:rFonts w:ascii="Garamond" w:hAnsi="Garamond"/>
          <w:b/>
          <w:u w:val="single"/>
        </w:rPr>
        <w:t>l’un des deux textes suivants</w:t>
      </w:r>
      <w:r w:rsidRPr="00E35010">
        <w:rPr>
          <w:rFonts w:ascii="Garamond" w:hAnsi="Garamond"/>
          <w:u w:val="single"/>
        </w:rPr>
        <w:t> :</w:t>
      </w:r>
    </w:p>
    <w:p w14:paraId="3A9ACC8F" w14:textId="41B01900" w:rsidR="00744FCA" w:rsidRDefault="00744FCA" w:rsidP="00744FCA">
      <w:pPr>
        <w:jc w:val="both"/>
        <w:rPr>
          <w:rFonts w:ascii="Garamond" w:hAnsi="Garamond"/>
        </w:rPr>
      </w:pPr>
    </w:p>
    <w:p w14:paraId="1BBBDAE9" w14:textId="10C9E22E" w:rsidR="00211F09" w:rsidRDefault="00211F09" w:rsidP="00744FCA">
      <w:pPr>
        <w:jc w:val="both"/>
        <w:rPr>
          <w:rFonts w:ascii="Garamond" w:hAnsi="Garamond"/>
        </w:rPr>
      </w:pPr>
    </w:p>
    <w:p w14:paraId="2BF6C7C4" w14:textId="77777777" w:rsidR="00211F09" w:rsidRDefault="00211F09" w:rsidP="00744FCA">
      <w:pPr>
        <w:jc w:val="both"/>
        <w:rPr>
          <w:rFonts w:ascii="Garamond" w:hAnsi="Garamond"/>
        </w:rPr>
      </w:pPr>
    </w:p>
    <w:p w14:paraId="5FA64E0F" w14:textId="77777777" w:rsidR="00744FCA" w:rsidRPr="006F0914" w:rsidRDefault="00744FCA" w:rsidP="00744FCA">
      <w:pPr>
        <w:jc w:val="both"/>
        <w:rPr>
          <w:rFonts w:ascii="Garamond" w:hAnsi="Garamond"/>
          <w:b/>
          <w:bCs/>
        </w:rPr>
      </w:pPr>
      <w:r w:rsidRPr="006F0914">
        <w:rPr>
          <w:rFonts w:ascii="Garamond" w:hAnsi="Garamond"/>
          <w:b/>
          <w:bCs/>
        </w:rPr>
        <w:t>Texte n° 1</w:t>
      </w:r>
      <w:r>
        <w:rPr>
          <w:rFonts w:ascii="Garamond" w:hAnsi="Garamond"/>
          <w:b/>
          <w:bCs/>
        </w:rPr>
        <w:t xml:space="preserve"> : </w:t>
      </w:r>
    </w:p>
    <w:p w14:paraId="0A0D7390" w14:textId="77777777" w:rsidR="00744FCA" w:rsidRDefault="00744FCA" w:rsidP="00744FCA">
      <w:pPr>
        <w:jc w:val="both"/>
        <w:rPr>
          <w:rFonts w:ascii="Garamond" w:hAnsi="Garamond"/>
        </w:rPr>
      </w:pPr>
    </w:p>
    <w:p w14:paraId="4117142F" w14:textId="77777777" w:rsidR="00744FCA" w:rsidRPr="00483CC3" w:rsidRDefault="00744FCA" w:rsidP="00744FCA">
      <w:pPr>
        <w:jc w:val="both"/>
        <w:rPr>
          <w:rFonts w:ascii="Garamond" w:hAnsi="Garamond"/>
          <w:b/>
        </w:rPr>
      </w:pPr>
      <w:r w:rsidRPr="00483CC3">
        <w:rPr>
          <w:rFonts w:ascii="Garamond" w:hAnsi="Garamond"/>
          <w:b/>
        </w:rPr>
        <w:t xml:space="preserve">Lettre de M. le contrôleur général des Finances Jean-Baptiste Colbert à M. </w:t>
      </w:r>
      <w:r>
        <w:rPr>
          <w:rFonts w:ascii="Garamond" w:hAnsi="Garamond"/>
          <w:b/>
        </w:rPr>
        <w:t>d</w:t>
      </w:r>
      <w:r w:rsidRPr="00483CC3">
        <w:rPr>
          <w:rFonts w:ascii="Garamond" w:hAnsi="Garamond"/>
          <w:b/>
        </w:rPr>
        <w:t>e Bezons, intendant en la généralité d’Orléans, datée du 27 août 1682.</w:t>
      </w:r>
    </w:p>
    <w:p w14:paraId="2D6E23BF" w14:textId="77777777" w:rsidR="00744FCA" w:rsidRPr="00483CC3" w:rsidRDefault="00744FCA" w:rsidP="00744FCA">
      <w:pPr>
        <w:rPr>
          <w:rFonts w:ascii="Garamond" w:hAnsi="Garamond"/>
        </w:rPr>
      </w:pPr>
    </w:p>
    <w:p w14:paraId="755E139A" w14:textId="77777777" w:rsidR="00744FCA" w:rsidRPr="00483CC3" w:rsidRDefault="00744FCA" w:rsidP="00744FCA">
      <w:pPr>
        <w:spacing w:line="276" w:lineRule="auto"/>
        <w:ind w:left="426" w:right="419" w:firstLine="708"/>
        <w:jc w:val="both"/>
        <w:rPr>
          <w:rFonts w:ascii="Garamond" w:hAnsi="Garamond"/>
        </w:rPr>
      </w:pPr>
      <w:r w:rsidRPr="00483CC3">
        <w:rPr>
          <w:rFonts w:ascii="Garamond" w:hAnsi="Garamond"/>
        </w:rPr>
        <w:t>« Pour réponse à votre lettre du 23 de ce mois, sur les deux rabais qui ont été faits sur les ouvrages des turcies et levées</w:t>
      </w:r>
      <w:r w:rsidRPr="00483CC3">
        <w:rPr>
          <w:rStyle w:val="Appelnotedebasdep"/>
          <w:rFonts w:ascii="Garamond" w:hAnsi="Garamond"/>
        </w:rPr>
        <w:footnoteReference w:id="1"/>
      </w:r>
      <w:r w:rsidRPr="00483CC3">
        <w:rPr>
          <w:rFonts w:ascii="Garamond" w:hAnsi="Garamond"/>
        </w:rPr>
        <w:t>, (…) mon sentiment est que vous receviez le second rabais et que vous le fassiez publier, pour voir s’il n’en sera fait aucun autre et que vous en fassiez l’adjudication à celui qui fera le dernier rabais, en l’obligeant de donner une caution suffisante.</w:t>
      </w:r>
    </w:p>
    <w:p w14:paraId="3522E425" w14:textId="77D6F23F" w:rsidR="00744FCA" w:rsidRDefault="00744FCA" w:rsidP="00744FCA">
      <w:pPr>
        <w:spacing w:line="276" w:lineRule="auto"/>
        <w:ind w:left="426" w:right="419" w:firstLine="708"/>
        <w:jc w:val="both"/>
        <w:rPr>
          <w:rFonts w:ascii="Garamond" w:hAnsi="Garamond"/>
        </w:rPr>
      </w:pPr>
      <w:r w:rsidRPr="00483CC3">
        <w:rPr>
          <w:rFonts w:ascii="Garamond" w:hAnsi="Garamond"/>
        </w:rPr>
        <w:t>Dans la suite du travail, il est nécessaire que vous teniez la main à ce que l’entrepreneur fasse toujours pour [l’équivalent de] 3 ou 4.000 livres d’ouvrages dont il soit en avance, et que vous fassiez aussi bien observer que ces ouvrages soient conformes aux devis. Et s</w:t>
      </w:r>
      <w:r w:rsidR="00ED514A">
        <w:rPr>
          <w:rFonts w:ascii="Garamond" w:hAnsi="Garamond"/>
        </w:rPr>
        <w:t>i l’entrepreneur</w:t>
      </w:r>
      <w:r w:rsidRPr="00483CC3">
        <w:rPr>
          <w:rFonts w:ascii="Garamond" w:hAnsi="Garamond"/>
        </w:rPr>
        <w:t xml:space="preserve"> manque</w:t>
      </w:r>
      <w:r w:rsidR="00ED514A">
        <w:rPr>
          <w:rFonts w:ascii="Garamond" w:hAnsi="Garamond"/>
        </w:rPr>
        <w:t xml:space="preserve"> [à ses engagements]</w:t>
      </w:r>
      <w:r w:rsidRPr="00483CC3">
        <w:rPr>
          <w:rFonts w:ascii="Garamond" w:hAnsi="Garamond"/>
        </w:rPr>
        <w:t>, soit dans le commencement soit dans la fin des ouvrages, il faudra le faire contraindre et ses cautions : et en cas qu’il ne satisfasse point par les contraintes, et que vous soyez obligé d’en venir à l’emprisonnement, il faudra le faire, et ensuite republier les ouvrages à la folle enchère. Par ce moyen, qui est conforme aux règlements et ordonnances dont l’exécution est toujours avantageuse au Roy et au public, vous parviendrez, en punissant avec quelque sévérité les entrepreneurs qui feront de mauvaises enchères, à n’en avoir que de bons et qui ne se hasarderont pas mal à propos de faire des rabais qui tourneraient à leur ruine ».</w:t>
      </w:r>
    </w:p>
    <w:p w14:paraId="16973A2F" w14:textId="77777777" w:rsidR="00744FCA" w:rsidRDefault="00744FCA" w:rsidP="00744FCA">
      <w:pPr>
        <w:spacing w:line="276" w:lineRule="auto"/>
        <w:ind w:right="419"/>
        <w:jc w:val="both"/>
        <w:rPr>
          <w:rFonts w:ascii="Garamond" w:hAnsi="Garamond"/>
          <w:b/>
          <w:bCs/>
        </w:rPr>
      </w:pPr>
      <w:r>
        <w:rPr>
          <w:rFonts w:ascii="Garamond" w:hAnsi="Garamond"/>
        </w:rPr>
        <w:br w:type="page"/>
      </w:r>
      <w:r>
        <w:rPr>
          <w:rFonts w:ascii="Garamond" w:hAnsi="Garamond"/>
          <w:b/>
          <w:bCs/>
        </w:rPr>
        <w:lastRenderedPageBreak/>
        <w:t>Texte n° 2 :</w:t>
      </w:r>
    </w:p>
    <w:p w14:paraId="429FCF47" w14:textId="77777777" w:rsidR="00744FCA" w:rsidRDefault="00744FCA" w:rsidP="00744FCA">
      <w:pPr>
        <w:spacing w:line="276" w:lineRule="auto"/>
        <w:ind w:right="419"/>
        <w:jc w:val="both"/>
        <w:rPr>
          <w:rFonts w:ascii="Garamond" w:hAnsi="Garamond"/>
          <w:b/>
          <w:bCs/>
        </w:rPr>
      </w:pPr>
    </w:p>
    <w:p w14:paraId="07DFA519" w14:textId="77777777" w:rsidR="00744FCA" w:rsidRPr="00CE372B" w:rsidRDefault="00744FCA" w:rsidP="00744FCA">
      <w:pPr>
        <w:jc w:val="both"/>
        <w:rPr>
          <w:rFonts w:ascii="Garamond" w:hAnsi="Garamond"/>
          <w:b/>
        </w:rPr>
      </w:pPr>
      <w:r w:rsidRPr="00CE372B">
        <w:rPr>
          <w:rFonts w:ascii="Garamond" w:hAnsi="Garamond"/>
          <w:b/>
        </w:rPr>
        <w:t>Achille-Léon-Victor duc de Broglie</w:t>
      </w:r>
      <w:r w:rsidRPr="00CE372B">
        <w:rPr>
          <w:rStyle w:val="Appelnotedebasdep"/>
          <w:rFonts w:ascii="Garamond" w:hAnsi="Garamond"/>
          <w:b/>
        </w:rPr>
        <w:footnoteReference w:id="2"/>
      </w:r>
      <w:r w:rsidRPr="00CE372B">
        <w:rPr>
          <w:rFonts w:ascii="Garamond" w:hAnsi="Garamond"/>
          <w:b/>
        </w:rPr>
        <w:t>, « Des tribunaux administratifs (note de lecture critique de l</w:t>
      </w:r>
      <w:r w:rsidRPr="00CE372B">
        <w:rPr>
          <w:rFonts w:ascii="Garamond" w:hAnsi="Garamond" w:cs="Didot"/>
          <w:b/>
        </w:rPr>
        <w:t>’</w:t>
      </w:r>
      <w:r w:rsidRPr="00CE372B">
        <w:rPr>
          <w:rFonts w:ascii="Garamond" w:hAnsi="Garamond"/>
          <w:b/>
        </w:rPr>
        <w:t xml:space="preserve">ouvrage de Macarel) », </w:t>
      </w:r>
      <w:r w:rsidRPr="00CE372B">
        <w:rPr>
          <w:rFonts w:ascii="Garamond" w:hAnsi="Garamond"/>
          <w:b/>
          <w:i/>
        </w:rPr>
        <w:t>Revue française</w:t>
      </w:r>
      <w:r w:rsidRPr="00CE372B">
        <w:rPr>
          <w:rFonts w:ascii="Garamond" w:hAnsi="Garamond"/>
          <w:b/>
        </w:rPr>
        <w:t>, n</w:t>
      </w:r>
      <w:r w:rsidRPr="00CE372B">
        <w:rPr>
          <w:rFonts w:ascii="Garamond" w:hAnsi="Garamond"/>
          <w:b/>
          <w:vertAlign w:val="superscript"/>
        </w:rPr>
        <w:t>o</w:t>
      </w:r>
      <w:r w:rsidRPr="00CE372B">
        <w:rPr>
          <w:rFonts w:ascii="Garamond" w:hAnsi="Garamond"/>
          <w:b/>
        </w:rPr>
        <w:t> 6, 1828, p. 58-132.</w:t>
      </w:r>
    </w:p>
    <w:p w14:paraId="29CD5C71" w14:textId="77777777" w:rsidR="00744FCA" w:rsidRDefault="00744FCA" w:rsidP="00744FCA">
      <w:pPr>
        <w:jc w:val="both"/>
        <w:rPr>
          <w:rFonts w:ascii="Garamond" w:hAnsi="Garamond"/>
        </w:rPr>
      </w:pPr>
    </w:p>
    <w:p w14:paraId="466022E8" w14:textId="77777777" w:rsidR="00744FCA" w:rsidRDefault="00744FCA" w:rsidP="00744FCA">
      <w:pPr>
        <w:spacing w:line="276" w:lineRule="auto"/>
        <w:ind w:left="567"/>
        <w:jc w:val="both"/>
        <w:rPr>
          <w:rFonts w:ascii="Garamond" w:hAnsi="Garamond"/>
        </w:rPr>
      </w:pPr>
      <w:r>
        <w:rPr>
          <w:rFonts w:ascii="Garamond" w:hAnsi="Garamond"/>
        </w:rPr>
        <w:t>« Qu’est-ce que la justice administrative ? En droit et en raison, y a-t-il telle chose que justice administrative ? Ne sont-ce point-là des expressions mal sonnantes, hérétiques (…) ? Voilà de prime abord la question qui se présente. (…)</w:t>
      </w:r>
      <w:r>
        <w:rPr>
          <w:rFonts w:ascii="Garamond" w:hAnsi="Garamond"/>
          <w:i/>
          <w:strike/>
        </w:rPr>
        <w:t xml:space="preserve"> </w:t>
      </w:r>
    </w:p>
    <w:p w14:paraId="7127FF89" w14:textId="77777777" w:rsidR="00744FCA" w:rsidRDefault="00744FCA" w:rsidP="00744FCA">
      <w:pPr>
        <w:spacing w:line="276" w:lineRule="auto"/>
        <w:ind w:left="567"/>
        <w:jc w:val="both"/>
        <w:rPr>
          <w:rFonts w:ascii="Garamond" w:hAnsi="Garamond"/>
        </w:rPr>
      </w:pPr>
      <w:r>
        <w:rPr>
          <w:rFonts w:ascii="Garamond" w:hAnsi="Garamond"/>
        </w:rPr>
        <w:t xml:space="preserve">Depuis quatorze ans, </w:t>
      </w:r>
      <w:r w:rsidRPr="003F1A9A">
        <w:rPr>
          <w:rFonts w:ascii="Garamond" w:hAnsi="Garamond"/>
        </w:rPr>
        <w:t>(…)</w:t>
      </w:r>
      <w:r w:rsidRPr="003F1A9A">
        <w:rPr>
          <w:rFonts w:ascii="Garamond" w:hAnsi="Garamond"/>
          <w:i/>
        </w:rPr>
        <w:t xml:space="preserve"> </w:t>
      </w:r>
      <w:r>
        <w:rPr>
          <w:rFonts w:ascii="Garamond" w:hAnsi="Garamond"/>
        </w:rPr>
        <w:t>beaucoup d’hommes recommandables par leur dévouement aux libertés publiques, s’élèvent au nom des principes, contre l’existence d’une semblable juridiction. (…)</w:t>
      </w:r>
      <w:r w:rsidRPr="003F1A9A">
        <w:rPr>
          <w:rFonts w:ascii="Garamond" w:hAnsi="Garamond"/>
          <w:i/>
        </w:rPr>
        <w:t xml:space="preserve"> </w:t>
      </w:r>
      <w:r>
        <w:rPr>
          <w:rFonts w:ascii="Garamond" w:hAnsi="Garamond"/>
        </w:rPr>
        <w:t xml:space="preserve">Dans tout État policé, disent-ils, toute contestation quelconque doit trouver des juges, mais des juges vraiment juges, des juges indépendants, des juges qui prononcent publiquement et selon les formes déterminées, dont il ne leur soit pas loisible de s’affranchir. Ici, que voyons-nous ? </w:t>
      </w:r>
      <w:r w:rsidRPr="003F1A9A">
        <w:rPr>
          <w:rFonts w:ascii="Garamond" w:hAnsi="Garamond"/>
        </w:rPr>
        <w:t>(…)</w:t>
      </w:r>
      <w:r w:rsidRPr="003F1A9A">
        <w:rPr>
          <w:rFonts w:ascii="Garamond" w:hAnsi="Garamond"/>
          <w:i/>
        </w:rPr>
        <w:t xml:space="preserve"> </w:t>
      </w:r>
      <w:r>
        <w:rPr>
          <w:rFonts w:ascii="Garamond" w:hAnsi="Garamond"/>
        </w:rPr>
        <w:t xml:space="preserve">l’affaire est portée devant l’administration elle-même. Quelle justice peut [-on en espérer] ? D’ailleurs les agents de l’administration, petits ou grands, sont-ils indépendants du gouvernement ? Non, à coup sûr. Sont-ils inamovibles ? Tout aussi peu. Prononcent-ils selon des formes déterminées ? Point du tout ; ou s’ils en observent, c’est l’administration elle-même qui se les impose, et qui demeure par conséquent plus ou moins libre d’y déroger. N’est-ce donc point là une justice de cadi ou de pacha ? </w:t>
      </w:r>
    </w:p>
    <w:p w14:paraId="26832222" w14:textId="77777777" w:rsidR="00744FCA" w:rsidRDefault="00744FCA" w:rsidP="00744FCA">
      <w:pPr>
        <w:spacing w:line="276" w:lineRule="auto"/>
        <w:ind w:left="567"/>
        <w:jc w:val="both"/>
        <w:rPr>
          <w:rFonts w:ascii="Garamond" w:hAnsi="Garamond"/>
          <w:i/>
          <w:strike/>
        </w:rPr>
      </w:pPr>
      <w:r>
        <w:rPr>
          <w:rFonts w:ascii="Garamond" w:hAnsi="Garamond"/>
        </w:rPr>
        <w:t>Pourquoi l’administration craindrait-elle de soumettre ses différends avec les administrés aux juges qui prononcent sur la fortune, sur l’honneur, sur la vie des citoyens ? Pourquoi les différends qui s’élèvent entre les citoyens à l’occasion d’un acte administratif, ne seraient-ils point déférés aux tribunaux ordinaires ? Il n’y a qu’une justice, il n’y a qu’une raison et qu’une vérité. (…)</w:t>
      </w:r>
    </w:p>
    <w:p w14:paraId="0FC13378" w14:textId="77777777" w:rsidR="00744FCA" w:rsidRDefault="00744FCA" w:rsidP="00744FCA">
      <w:pPr>
        <w:spacing w:line="276" w:lineRule="auto"/>
        <w:ind w:left="567"/>
        <w:jc w:val="both"/>
        <w:rPr>
          <w:rFonts w:ascii="Garamond" w:hAnsi="Garamond"/>
        </w:rPr>
      </w:pPr>
      <w:r>
        <w:rPr>
          <w:rFonts w:ascii="Garamond" w:hAnsi="Garamond"/>
        </w:rPr>
        <w:t xml:space="preserve">Un homme très-versé depuis [de] longues années, dans l’étude de la jurisprudence administrative, </w:t>
      </w:r>
      <w:r w:rsidRPr="003F1A9A">
        <w:rPr>
          <w:rFonts w:ascii="Garamond" w:hAnsi="Garamond"/>
        </w:rPr>
        <w:t>(…)</w:t>
      </w:r>
      <w:r>
        <w:rPr>
          <w:rFonts w:ascii="Garamond" w:hAnsi="Garamond"/>
        </w:rPr>
        <w:t xml:space="preserve"> et dont les écrits font autorité, M. de </w:t>
      </w:r>
      <w:proofErr w:type="spellStart"/>
      <w:r>
        <w:rPr>
          <w:rFonts w:ascii="Garamond" w:hAnsi="Garamond"/>
        </w:rPr>
        <w:t>Cormenin</w:t>
      </w:r>
      <w:proofErr w:type="spellEnd"/>
      <w:r>
        <w:rPr>
          <w:rStyle w:val="Appelnotedebasdep"/>
          <w:rFonts w:ascii="Garamond" w:hAnsi="Garamond"/>
        </w:rPr>
        <w:footnoteReference w:id="3"/>
      </w:r>
      <w:r>
        <w:rPr>
          <w:rFonts w:ascii="Garamond" w:hAnsi="Garamond"/>
        </w:rPr>
        <w:t xml:space="preserve"> estime que les questions soumises à la juridiction administrative sont de vraies questions judiciaires, des questions de droit ; </w:t>
      </w:r>
      <w:r w:rsidRPr="003F1A9A">
        <w:rPr>
          <w:rFonts w:ascii="Garamond" w:hAnsi="Garamond"/>
        </w:rPr>
        <w:t>(…)</w:t>
      </w:r>
      <w:r w:rsidRPr="003F1A9A">
        <w:rPr>
          <w:rFonts w:ascii="Garamond" w:hAnsi="Garamond"/>
          <w:i/>
        </w:rPr>
        <w:t xml:space="preserve"> </w:t>
      </w:r>
      <w:r>
        <w:rPr>
          <w:rFonts w:ascii="Garamond" w:hAnsi="Garamond"/>
        </w:rPr>
        <w:t>D’après cette idée, il pense qu’on ne saurait, sans violer plus ou moins les principes reçus, réserver à l’administration l’office de statuer sur de semblables questions ; mais il pense, en même temps, qu’on ne pourrait non plus, sans inconvénient, les renvoyer par-devant les tribunaux ordinaires. Il réclame la formation de tribunaux administratifs, composés de juges spéciaux, mais inamovibles, indépendants, prononçant publiquement et selon des formes légalement établies ».</w:t>
      </w:r>
    </w:p>
    <w:p w14:paraId="01E03027" w14:textId="77777777" w:rsidR="00744FCA" w:rsidRPr="006F0914" w:rsidRDefault="00744FCA" w:rsidP="00744FCA">
      <w:pPr>
        <w:spacing w:line="276" w:lineRule="auto"/>
        <w:ind w:right="419"/>
        <w:jc w:val="both"/>
        <w:rPr>
          <w:rFonts w:ascii="Garamond" w:hAnsi="Garamond"/>
          <w:b/>
          <w:bCs/>
        </w:rPr>
      </w:pPr>
      <w:r>
        <w:rPr>
          <w:rFonts w:ascii="Garamond" w:hAnsi="Garamond"/>
          <w:b/>
          <w:bCs/>
        </w:rPr>
        <w:t xml:space="preserve"> </w:t>
      </w:r>
    </w:p>
    <w:p w14:paraId="10A40C6E" w14:textId="77777777" w:rsidR="00744FCA" w:rsidRPr="00483CC3" w:rsidRDefault="00744FCA" w:rsidP="00744FCA">
      <w:pPr>
        <w:jc w:val="both"/>
        <w:rPr>
          <w:rFonts w:ascii="Garamond" w:hAnsi="Garamond"/>
        </w:rPr>
      </w:pPr>
    </w:p>
    <w:p w14:paraId="7C0C8DFB" w14:textId="77777777" w:rsidR="00BF393C" w:rsidRDefault="00BF393C"/>
    <w:sectPr w:rsidR="00BF393C">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DE64E" w14:textId="77777777" w:rsidR="0006654E" w:rsidRDefault="0006654E" w:rsidP="00E811A7">
      <w:r>
        <w:separator/>
      </w:r>
    </w:p>
  </w:endnote>
  <w:endnote w:type="continuationSeparator" w:id="0">
    <w:p w14:paraId="0BC70C17" w14:textId="77777777" w:rsidR="0006654E" w:rsidRDefault="0006654E"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Didot">
    <w:charset w:val="B1"/>
    <w:family w:val="auto"/>
    <w:pitch w:val="variable"/>
    <w:sig w:usb0="80000867" w:usb1="00000000" w:usb2="00000000" w:usb3="00000000" w:csb0="000001F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22513654"/>
      <w:docPartObj>
        <w:docPartGallery w:val="Page Numbers (Bottom of Page)"/>
        <w:docPartUnique/>
      </w:docPartObj>
    </w:sdtPr>
    <w:sdtEndPr>
      <w:rPr>
        <w:rStyle w:val="Numrodepage"/>
      </w:rPr>
    </w:sdtEndPr>
    <w:sdtContent>
      <w:p w14:paraId="23366A6C" w14:textId="6D1B0512" w:rsidR="00211F09" w:rsidRDefault="00211F09" w:rsidP="000B6D7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EACDC72" w14:textId="77777777" w:rsidR="002822BD" w:rsidRDefault="002822BD" w:rsidP="00211F0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85768630"/>
      <w:docPartObj>
        <w:docPartGallery w:val="Page Numbers (Bottom of Page)"/>
        <w:docPartUnique/>
      </w:docPartObj>
    </w:sdtPr>
    <w:sdtEndPr>
      <w:rPr>
        <w:rStyle w:val="Numrodepage"/>
      </w:rPr>
    </w:sdtEndPr>
    <w:sdtContent>
      <w:p w14:paraId="6E2D9956" w14:textId="64911E2E" w:rsidR="00211F09" w:rsidRDefault="00211F09" w:rsidP="000B6D7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147AB8">
          <w:rPr>
            <w:rStyle w:val="Numrodepage"/>
            <w:noProof/>
          </w:rPr>
          <w:t>3</w:t>
        </w:r>
        <w:r>
          <w:rPr>
            <w:rStyle w:val="Numrodepage"/>
          </w:rPr>
          <w:fldChar w:fldCharType="end"/>
        </w:r>
        <w:r w:rsidR="00147AB8">
          <w:rPr>
            <w:rStyle w:val="Numrodepage"/>
          </w:rPr>
          <w:t>/3</w:t>
        </w:r>
      </w:p>
    </w:sdtContent>
  </w:sdt>
  <w:p w14:paraId="49789822" w14:textId="22EC086D" w:rsidR="00E811A7" w:rsidRDefault="00E811A7" w:rsidP="00211F09">
    <w:pPr>
      <w:pStyle w:val="Pieddepag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7C416" w14:textId="77777777" w:rsidR="0006654E" w:rsidRDefault="0006654E" w:rsidP="00E811A7">
      <w:r>
        <w:separator/>
      </w:r>
    </w:p>
  </w:footnote>
  <w:footnote w:type="continuationSeparator" w:id="0">
    <w:p w14:paraId="2CCFB9E2" w14:textId="77777777" w:rsidR="0006654E" w:rsidRDefault="0006654E" w:rsidP="00E811A7">
      <w:r>
        <w:continuationSeparator/>
      </w:r>
    </w:p>
  </w:footnote>
  <w:footnote w:id="1">
    <w:p w14:paraId="007D9DA7" w14:textId="77777777" w:rsidR="00744FCA" w:rsidRDefault="00744FCA" w:rsidP="00744FCA">
      <w:pPr>
        <w:pStyle w:val="Notedebasdepage"/>
        <w:jc w:val="both"/>
      </w:pPr>
      <w:r>
        <w:rPr>
          <w:rStyle w:val="Appelnotedebasdep"/>
        </w:rPr>
        <w:footnoteRef/>
      </w:r>
      <w:r>
        <w:t xml:space="preserve"> Les « turcies et levées » désignent des digues en bois et en terre, érigées le long d’un fleuve (en l’occurrence le long de la Loire), destinées à protéger les champs de culture d’éventuelles crues.</w:t>
      </w:r>
    </w:p>
  </w:footnote>
  <w:footnote w:id="2">
    <w:p w14:paraId="6E15B0EF" w14:textId="77777777" w:rsidR="00744FCA" w:rsidRPr="00465A97" w:rsidRDefault="00744FCA" w:rsidP="00744FCA">
      <w:pPr>
        <w:pStyle w:val="Notedebasdepage"/>
        <w:jc w:val="both"/>
        <w:rPr>
          <w:sz w:val="22"/>
          <w:szCs w:val="22"/>
        </w:rPr>
      </w:pPr>
      <w:r w:rsidRPr="00465A97">
        <w:rPr>
          <w:rStyle w:val="Appelnotedebasdep"/>
          <w:sz w:val="22"/>
          <w:szCs w:val="22"/>
        </w:rPr>
        <w:footnoteRef/>
      </w:r>
      <w:r w:rsidRPr="00465A97">
        <w:rPr>
          <w:sz w:val="22"/>
          <w:szCs w:val="22"/>
        </w:rPr>
        <w:t xml:space="preserve"> Duc de Broglie (1785-1870), membre de la chambre des pairs sous la Restauration, libéral.</w:t>
      </w:r>
    </w:p>
  </w:footnote>
  <w:footnote w:id="3">
    <w:p w14:paraId="5131B38A" w14:textId="77777777" w:rsidR="00744FCA" w:rsidRPr="00465A97" w:rsidRDefault="00744FCA" w:rsidP="00744FCA">
      <w:pPr>
        <w:pStyle w:val="Notedebasdepage"/>
        <w:jc w:val="both"/>
        <w:rPr>
          <w:sz w:val="22"/>
          <w:szCs w:val="22"/>
        </w:rPr>
      </w:pPr>
      <w:r w:rsidRPr="00465A97">
        <w:rPr>
          <w:rStyle w:val="Appelnotedebasdep"/>
          <w:sz w:val="22"/>
          <w:szCs w:val="22"/>
        </w:rPr>
        <w:footnoteRef/>
      </w:r>
      <w:r w:rsidRPr="00465A97">
        <w:rPr>
          <w:sz w:val="22"/>
          <w:szCs w:val="22"/>
        </w:rPr>
        <w:t xml:space="preserve"> Louis-Marie de Lahaye (1788-1868), vicomte de </w:t>
      </w:r>
      <w:proofErr w:type="spellStart"/>
      <w:r w:rsidRPr="00465A97">
        <w:rPr>
          <w:sz w:val="22"/>
          <w:szCs w:val="22"/>
        </w:rPr>
        <w:t>Cormenin</w:t>
      </w:r>
      <w:proofErr w:type="spellEnd"/>
      <w:r w:rsidRPr="00465A97">
        <w:rPr>
          <w:sz w:val="22"/>
          <w:szCs w:val="22"/>
        </w:rPr>
        <w:t xml:space="preserve">, auditeur (1810) puis maître des requêtes au Conseil d’état (commission du contentieux), auteur notamment de </w:t>
      </w:r>
      <w:r w:rsidRPr="00465A97">
        <w:rPr>
          <w:i/>
          <w:sz w:val="22"/>
          <w:szCs w:val="22"/>
        </w:rPr>
        <w:t xml:space="preserve">Questions du droit </w:t>
      </w:r>
      <w:r w:rsidRPr="00465A97">
        <w:rPr>
          <w:sz w:val="22"/>
          <w:szCs w:val="22"/>
        </w:rPr>
        <w:t xml:space="preserve">administratif, Paris, éd. </w:t>
      </w:r>
      <w:proofErr w:type="spellStart"/>
      <w:r w:rsidRPr="00465A97">
        <w:rPr>
          <w:sz w:val="22"/>
          <w:szCs w:val="22"/>
        </w:rPr>
        <w:t>Ridier</w:t>
      </w:r>
      <w:proofErr w:type="spellEnd"/>
      <w:r w:rsidRPr="00465A97">
        <w:rPr>
          <w:sz w:val="22"/>
          <w:szCs w:val="22"/>
        </w:rPr>
        <w:t>, 1822, 2 vol.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6654E"/>
    <w:rsid w:val="000D6B58"/>
    <w:rsid w:val="00110FE2"/>
    <w:rsid w:val="00147AB8"/>
    <w:rsid w:val="00211F09"/>
    <w:rsid w:val="00240FA2"/>
    <w:rsid w:val="002822BD"/>
    <w:rsid w:val="002E12BC"/>
    <w:rsid w:val="003133A0"/>
    <w:rsid w:val="00325FF0"/>
    <w:rsid w:val="003B417D"/>
    <w:rsid w:val="004F6AF8"/>
    <w:rsid w:val="00592525"/>
    <w:rsid w:val="006706BC"/>
    <w:rsid w:val="006E78FF"/>
    <w:rsid w:val="00744FCA"/>
    <w:rsid w:val="007E7823"/>
    <w:rsid w:val="00834806"/>
    <w:rsid w:val="00940555"/>
    <w:rsid w:val="00944A74"/>
    <w:rsid w:val="00A44087"/>
    <w:rsid w:val="00AB6A7C"/>
    <w:rsid w:val="00AE726E"/>
    <w:rsid w:val="00BB4C4E"/>
    <w:rsid w:val="00BF393C"/>
    <w:rsid w:val="00C62AB8"/>
    <w:rsid w:val="00CD2095"/>
    <w:rsid w:val="00E35010"/>
    <w:rsid w:val="00E811A7"/>
    <w:rsid w:val="00EC592B"/>
    <w:rsid w:val="00ED514A"/>
    <w:rsid w:val="00EF2DF2"/>
    <w:rsid w:val="00F93A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E277"/>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744FCA"/>
    <w:rPr>
      <w:rFonts w:ascii="Garamond" w:eastAsia="MS Mincho" w:hAnsi="Garamond"/>
    </w:rPr>
  </w:style>
  <w:style w:type="character" w:customStyle="1" w:styleId="NotedebasdepageCar">
    <w:name w:val="Note de bas de page Car"/>
    <w:basedOn w:val="Policepardfaut"/>
    <w:link w:val="Notedebasdepage"/>
    <w:uiPriority w:val="99"/>
    <w:rsid w:val="00744FCA"/>
    <w:rPr>
      <w:rFonts w:ascii="Garamond" w:eastAsia="MS Mincho" w:hAnsi="Garamond" w:cs="Times New Roman"/>
      <w:sz w:val="24"/>
      <w:szCs w:val="24"/>
      <w:lang w:eastAsia="fr-FR"/>
    </w:rPr>
  </w:style>
  <w:style w:type="character" w:styleId="Appelnotedebasdep">
    <w:name w:val="footnote reference"/>
    <w:uiPriority w:val="99"/>
    <w:unhideWhenUsed/>
    <w:rsid w:val="00744FCA"/>
    <w:rPr>
      <w:vertAlign w:val="superscript"/>
    </w:rPr>
  </w:style>
  <w:style w:type="character" w:styleId="Numrodepage">
    <w:name w:val="page number"/>
    <w:basedOn w:val="Policepardfaut"/>
    <w:uiPriority w:val="99"/>
    <w:semiHidden/>
    <w:unhideWhenUsed/>
    <w:rsid w:val="0021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712</Words>
  <Characters>3916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22</cp:revision>
  <dcterms:created xsi:type="dcterms:W3CDTF">2020-11-02T14:23:00Z</dcterms:created>
  <dcterms:modified xsi:type="dcterms:W3CDTF">2022-12-03T09:07:00Z</dcterms:modified>
</cp:coreProperties>
</file>