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4118" w14:textId="77777777" w:rsidR="00944A74" w:rsidRDefault="00944A74" w:rsidP="00944A74">
      <w:pPr>
        <w:widowControl w:val="0"/>
        <w:autoSpaceDE w:val="0"/>
        <w:autoSpaceDN w:val="0"/>
        <w:adjustRightInd w:val="0"/>
        <w:rPr>
          <w:sz w:val="3"/>
          <w:szCs w:val="3"/>
        </w:rPr>
      </w:pPr>
    </w:p>
    <w:p w14:paraId="46501314"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7F5EEA">
        <w:rPr>
          <w:rFonts w:ascii="Arial" w:hAnsi="Arial" w:cs="Arial"/>
          <w:b/>
          <w:bCs/>
          <w:color w:val="008000"/>
          <w:u w:val="single"/>
        </w:rPr>
        <w:t>Université PARIS - PANTHÉON - ASSAS</w:t>
      </w:r>
      <w:r>
        <w:tab/>
      </w:r>
      <w:r w:rsidR="00940EA6" w:rsidRPr="00F83D2C">
        <w:rPr>
          <w:rFonts w:ascii="Arial" w:hAnsi="Arial" w:cs="Arial"/>
          <w:b/>
          <w:bCs/>
          <w:color w:val="000000"/>
        </w:rPr>
        <w:t>U.E.</w:t>
      </w:r>
      <w:r w:rsidR="001B61A2">
        <w:rPr>
          <w:rFonts w:ascii="Arial" w:hAnsi="Arial" w:cs="Arial"/>
          <w:b/>
          <w:bCs/>
          <w:color w:val="000000"/>
        </w:rPr>
        <w:t>F</w:t>
      </w:r>
      <w:r w:rsidR="00874EF0">
        <w:rPr>
          <w:rFonts w:ascii="Arial" w:hAnsi="Arial" w:cs="Arial"/>
          <w:b/>
          <w:bCs/>
          <w:color w:val="000000"/>
        </w:rPr>
        <w:t>.1</w:t>
      </w:r>
    </w:p>
    <w:p w14:paraId="08F8CC8C" w14:textId="77777777" w:rsidR="00944A74" w:rsidRDefault="00944A74" w:rsidP="00944A74">
      <w:pPr>
        <w:widowControl w:val="0"/>
        <w:autoSpaceDE w:val="0"/>
        <w:autoSpaceDN w:val="0"/>
        <w:adjustRightInd w:val="0"/>
        <w:rPr>
          <w:rFonts w:ascii="Arial" w:hAnsi="Arial" w:cs="Arial"/>
          <w:b/>
          <w:bCs/>
          <w:color w:val="000000"/>
          <w:sz w:val="20"/>
          <w:szCs w:val="20"/>
        </w:rPr>
      </w:pPr>
    </w:p>
    <w:p w14:paraId="4BCBC803" w14:textId="77777777" w:rsidR="00944A74" w:rsidRDefault="00944A74" w:rsidP="00944A74">
      <w:pPr>
        <w:widowControl w:val="0"/>
        <w:autoSpaceDE w:val="0"/>
        <w:autoSpaceDN w:val="0"/>
        <w:adjustRightInd w:val="0"/>
        <w:rPr>
          <w:rFonts w:ascii="Arial" w:hAnsi="Arial" w:cs="Arial"/>
          <w:b/>
          <w:bCs/>
          <w:color w:val="000000"/>
          <w:sz w:val="8"/>
          <w:szCs w:val="8"/>
        </w:rPr>
      </w:pPr>
    </w:p>
    <w:p w14:paraId="35D435F7" w14:textId="77777777" w:rsidR="003E7FFB" w:rsidRDefault="00944A74" w:rsidP="00944A74">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r>
        <w:tab/>
      </w:r>
    </w:p>
    <w:p w14:paraId="5903E44B" w14:textId="77777777" w:rsidR="003E7FFB" w:rsidRDefault="003E7FFB" w:rsidP="00944A74">
      <w:pPr>
        <w:widowControl w:val="0"/>
        <w:tabs>
          <w:tab w:val="center" w:pos="4821"/>
          <w:tab w:val="right" w:pos="9582"/>
        </w:tabs>
        <w:autoSpaceDE w:val="0"/>
        <w:autoSpaceDN w:val="0"/>
        <w:adjustRightInd w:val="0"/>
      </w:pPr>
    </w:p>
    <w:p w14:paraId="49AF5486" w14:textId="4BB5E9F6" w:rsidR="00944A74" w:rsidRPr="005D6363" w:rsidRDefault="002D49CB" w:rsidP="005D6363">
      <w:pPr>
        <w:widowControl w:val="0"/>
        <w:tabs>
          <w:tab w:val="center" w:pos="4821"/>
          <w:tab w:val="right" w:pos="9582"/>
        </w:tabs>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szCs w:val="22"/>
        </w:rPr>
        <w:t>M1</w:t>
      </w:r>
      <w:r w:rsidR="003E7FFB" w:rsidRPr="005D6363">
        <w:rPr>
          <w:rFonts w:asciiTheme="minorHAnsi" w:hAnsiTheme="minorHAnsi" w:cstheme="minorHAnsi"/>
          <w:b/>
          <w:sz w:val="22"/>
          <w:szCs w:val="22"/>
        </w:rPr>
        <w:t>1002</w:t>
      </w:r>
      <w:r>
        <w:rPr>
          <w:rFonts w:asciiTheme="minorHAnsi" w:hAnsiTheme="minorHAnsi" w:cstheme="minorHAnsi"/>
          <w:b/>
          <w:sz w:val="22"/>
          <w:szCs w:val="22"/>
        </w:rPr>
        <w:t>AC</w:t>
      </w:r>
    </w:p>
    <w:p w14:paraId="4F325FD8" w14:textId="77777777" w:rsidR="00944A74" w:rsidRPr="005D6363" w:rsidRDefault="00944A74" w:rsidP="00944A74">
      <w:pPr>
        <w:widowControl w:val="0"/>
        <w:autoSpaceDE w:val="0"/>
        <w:autoSpaceDN w:val="0"/>
        <w:adjustRightInd w:val="0"/>
        <w:rPr>
          <w:rFonts w:asciiTheme="minorHAnsi" w:hAnsiTheme="minorHAnsi" w:cstheme="minorHAnsi"/>
          <w:color w:val="000000"/>
          <w:sz w:val="22"/>
          <w:szCs w:val="22"/>
        </w:rPr>
      </w:pPr>
    </w:p>
    <w:p w14:paraId="422122EB" w14:textId="2BC2390E" w:rsidR="00944A74" w:rsidRPr="005D6363" w:rsidRDefault="00944A74" w:rsidP="001B7D84">
      <w:pPr>
        <w:widowControl w:val="0"/>
        <w:tabs>
          <w:tab w:val="left" w:pos="56"/>
          <w:tab w:val="left" w:pos="2835"/>
        </w:tabs>
        <w:autoSpaceDE w:val="0"/>
        <w:autoSpaceDN w:val="0"/>
        <w:adjustRightInd w:val="0"/>
        <w:rPr>
          <w:rFonts w:asciiTheme="minorHAnsi" w:hAnsiTheme="minorHAnsi" w:cstheme="minorHAnsi"/>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 xml:space="preserve">Session : </w:t>
      </w:r>
      <w:r w:rsidRPr="005D6363">
        <w:rPr>
          <w:rFonts w:asciiTheme="minorHAnsi" w:hAnsiTheme="minorHAnsi" w:cstheme="minorHAnsi"/>
          <w:sz w:val="22"/>
          <w:szCs w:val="22"/>
        </w:rPr>
        <w:tab/>
      </w:r>
      <w:r w:rsidR="0050651D">
        <w:rPr>
          <w:rFonts w:asciiTheme="minorHAnsi" w:hAnsiTheme="minorHAnsi" w:cstheme="minorHAnsi"/>
          <w:color w:val="000000"/>
          <w:sz w:val="22"/>
          <w:szCs w:val="22"/>
        </w:rPr>
        <w:t>Janvier 2023</w:t>
      </w:r>
      <w:r w:rsidR="00940EA6" w:rsidRPr="005D6363">
        <w:rPr>
          <w:rFonts w:asciiTheme="minorHAnsi" w:hAnsiTheme="minorHAnsi" w:cstheme="minorHAnsi"/>
          <w:color w:val="000000"/>
          <w:sz w:val="22"/>
          <w:szCs w:val="22"/>
        </w:rPr>
        <w:t xml:space="preserve"> </w:t>
      </w:r>
    </w:p>
    <w:p w14:paraId="0C457B19" w14:textId="77777777" w:rsidR="00944A74" w:rsidRPr="005D6363" w:rsidRDefault="00944A74" w:rsidP="00944A74">
      <w:pPr>
        <w:widowControl w:val="0"/>
        <w:autoSpaceDE w:val="0"/>
        <w:autoSpaceDN w:val="0"/>
        <w:adjustRightInd w:val="0"/>
        <w:rPr>
          <w:rFonts w:asciiTheme="minorHAnsi" w:hAnsiTheme="minorHAnsi" w:cstheme="minorHAnsi"/>
          <w:color w:val="000000"/>
          <w:sz w:val="22"/>
          <w:szCs w:val="22"/>
        </w:rPr>
      </w:pPr>
    </w:p>
    <w:p w14:paraId="60902CDF" w14:textId="122F5275" w:rsidR="00944A74" w:rsidRPr="005D6363" w:rsidRDefault="00944A74" w:rsidP="00407119">
      <w:pPr>
        <w:widowControl w:val="0"/>
        <w:tabs>
          <w:tab w:val="left" w:pos="56"/>
          <w:tab w:val="left" w:pos="2835"/>
        </w:tabs>
        <w:autoSpaceDE w:val="0"/>
        <w:autoSpaceDN w:val="0"/>
        <w:adjustRightInd w:val="0"/>
        <w:rPr>
          <w:rFonts w:asciiTheme="minorHAnsi" w:hAnsiTheme="minorHAnsi" w:cstheme="minorHAnsi"/>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 xml:space="preserve">Année d'étude : </w:t>
      </w:r>
      <w:r w:rsidRPr="005D6363">
        <w:rPr>
          <w:rFonts w:asciiTheme="minorHAnsi" w:hAnsiTheme="minorHAnsi" w:cstheme="minorHAnsi"/>
          <w:sz w:val="22"/>
          <w:szCs w:val="22"/>
        </w:rPr>
        <w:tab/>
      </w:r>
      <w:r w:rsidR="003E7FFB" w:rsidRPr="005D6363">
        <w:rPr>
          <w:rFonts w:asciiTheme="minorHAnsi" w:hAnsiTheme="minorHAnsi" w:cstheme="minorHAnsi"/>
          <w:sz w:val="22"/>
          <w:szCs w:val="22"/>
        </w:rPr>
        <w:t>M1</w:t>
      </w:r>
    </w:p>
    <w:p w14:paraId="2215EA03" w14:textId="77777777" w:rsidR="00944A74" w:rsidRPr="005D6363" w:rsidRDefault="00944A74" w:rsidP="00944A74">
      <w:pPr>
        <w:widowControl w:val="0"/>
        <w:autoSpaceDE w:val="0"/>
        <w:autoSpaceDN w:val="0"/>
        <w:adjustRightInd w:val="0"/>
        <w:rPr>
          <w:rFonts w:asciiTheme="minorHAnsi" w:hAnsiTheme="minorHAnsi" w:cstheme="minorHAnsi"/>
          <w:color w:val="000000"/>
          <w:sz w:val="22"/>
          <w:szCs w:val="22"/>
        </w:rPr>
      </w:pPr>
    </w:p>
    <w:p w14:paraId="3DBF463D" w14:textId="708C4835" w:rsidR="00944A74" w:rsidRPr="005D6363" w:rsidRDefault="00944A74" w:rsidP="00407119">
      <w:pPr>
        <w:widowControl w:val="0"/>
        <w:tabs>
          <w:tab w:val="left" w:pos="56"/>
          <w:tab w:val="left" w:pos="2835"/>
        </w:tabs>
        <w:autoSpaceDE w:val="0"/>
        <w:autoSpaceDN w:val="0"/>
        <w:adjustRightInd w:val="0"/>
        <w:rPr>
          <w:rFonts w:asciiTheme="minorHAnsi" w:hAnsiTheme="minorHAnsi" w:cstheme="minorHAnsi"/>
          <w:b/>
          <w:bCs/>
          <w:i/>
          <w:iCs/>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 xml:space="preserve">Discipline : </w:t>
      </w:r>
      <w:r w:rsidR="006A0C20" w:rsidRPr="005D6363">
        <w:rPr>
          <w:rFonts w:asciiTheme="minorHAnsi" w:hAnsiTheme="minorHAnsi" w:cstheme="minorHAnsi"/>
          <w:sz w:val="22"/>
          <w:szCs w:val="22"/>
        </w:rPr>
        <w:tab/>
      </w:r>
      <w:r w:rsidR="003E7FFB" w:rsidRPr="005D6363">
        <w:rPr>
          <w:rFonts w:asciiTheme="minorHAnsi" w:hAnsiTheme="minorHAnsi" w:cstheme="minorHAnsi"/>
          <w:b/>
          <w:bCs/>
        </w:rPr>
        <w:t>Droit français et européen de la concurrence</w:t>
      </w:r>
    </w:p>
    <w:p w14:paraId="2626CA12" w14:textId="77777777" w:rsidR="00944A74" w:rsidRPr="005D6363" w:rsidRDefault="00944A74" w:rsidP="00944A74">
      <w:pPr>
        <w:widowControl w:val="0"/>
        <w:autoSpaceDE w:val="0"/>
        <w:autoSpaceDN w:val="0"/>
        <w:adjustRightInd w:val="0"/>
        <w:rPr>
          <w:rFonts w:asciiTheme="minorHAnsi" w:hAnsiTheme="minorHAnsi" w:cstheme="minorHAnsi"/>
          <w:color w:val="000000"/>
          <w:sz w:val="22"/>
          <w:szCs w:val="22"/>
        </w:rPr>
      </w:pPr>
    </w:p>
    <w:p w14:paraId="3922E816" w14:textId="37C7E564" w:rsidR="00407119" w:rsidRPr="005D6363" w:rsidRDefault="00944A74" w:rsidP="00944A74">
      <w:pPr>
        <w:widowControl w:val="0"/>
        <w:tabs>
          <w:tab w:val="left" w:pos="56"/>
        </w:tabs>
        <w:autoSpaceDE w:val="0"/>
        <w:autoSpaceDN w:val="0"/>
        <w:adjustRightInd w:val="0"/>
        <w:rPr>
          <w:rFonts w:asciiTheme="minorHAnsi" w:hAnsiTheme="minorHAnsi" w:cstheme="minorHAnsi"/>
          <w:b/>
          <w:bCs/>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Titulaire(s) du cours :</w:t>
      </w:r>
      <w:r w:rsidR="00407119" w:rsidRPr="005D6363">
        <w:rPr>
          <w:rFonts w:asciiTheme="minorHAnsi" w:hAnsiTheme="minorHAnsi" w:cstheme="minorHAnsi"/>
          <w:b/>
          <w:bCs/>
          <w:color w:val="000000"/>
          <w:sz w:val="22"/>
          <w:szCs w:val="22"/>
        </w:rPr>
        <w:tab/>
      </w:r>
      <w:r w:rsidR="005D6363">
        <w:rPr>
          <w:rFonts w:asciiTheme="minorHAnsi" w:hAnsiTheme="minorHAnsi" w:cstheme="minorHAnsi"/>
          <w:b/>
          <w:bCs/>
          <w:color w:val="000000"/>
          <w:sz w:val="22"/>
          <w:szCs w:val="22"/>
        </w:rPr>
        <w:tab/>
      </w:r>
      <w:r w:rsidR="003E7FFB" w:rsidRPr="005D6363">
        <w:rPr>
          <w:rFonts w:asciiTheme="minorHAnsi" w:hAnsiTheme="minorHAnsi" w:cstheme="minorHAnsi"/>
          <w:color w:val="000000"/>
          <w:sz w:val="22"/>
          <w:szCs w:val="22"/>
        </w:rPr>
        <w:t>E. Claudel</w:t>
      </w:r>
    </w:p>
    <w:p w14:paraId="0C839539" w14:textId="77777777" w:rsidR="00407119" w:rsidRPr="005D6363" w:rsidRDefault="00407119" w:rsidP="00944A74">
      <w:pPr>
        <w:widowControl w:val="0"/>
        <w:tabs>
          <w:tab w:val="left" w:pos="56"/>
        </w:tabs>
        <w:autoSpaceDE w:val="0"/>
        <w:autoSpaceDN w:val="0"/>
        <w:adjustRightInd w:val="0"/>
        <w:rPr>
          <w:rFonts w:asciiTheme="minorHAnsi" w:hAnsiTheme="minorHAnsi" w:cstheme="minorHAnsi"/>
          <w:b/>
          <w:bCs/>
          <w:color w:val="000000"/>
          <w:sz w:val="22"/>
          <w:szCs w:val="22"/>
        </w:rPr>
      </w:pPr>
    </w:p>
    <w:p w14:paraId="2F005A77" w14:textId="0AB7F111" w:rsidR="00407119" w:rsidRPr="005D6363" w:rsidRDefault="00407119" w:rsidP="00407119">
      <w:pPr>
        <w:widowControl w:val="0"/>
        <w:tabs>
          <w:tab w:val="left" w:pos="56"/>
        </w:tabs>
        <w:autoSpaceDE w:val="0"/>
        <w:autoSpaceDN w:val="0"/>
        <w:adjustRightInd w:val="0"/>
        <w:rPr>
          <w:rFonts w:asciiTheme="minorHAnsi" w:hAnsiTheme="minorHAnsi" w:cstheme="minorHAnsi"/>
          <w:b/>
          <w:bCs/>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Durée de l’épreuve :</w:t>
      </w:r>
      <w:r w:rsidRPr="005D6363">
        <w:rPr>
          <w:rFonts w:asciiTheme="minorHAnsi" w:hAnsiTheme="minorHAnsi" w:cstheme="minorHAnsi"/>
          <w:b/>
          <w:bCs/>
          <w:color w:val="000000"/>
          <w:sz w:val="22"/>
          <w:szCs w:val="22"/>
        </w:rPr>
        <w:tab/>
      </w:r>
      <w:r w:rsidR="005D6363">
        <w:rPr>
          <w:rFonts w:asciiTheme="minorHAnsi" w:hAnsiTheme="minorHAnsi" w:cstheme="minorHAnsi"/>
          <w:b/>
          <w:bCs/>
          <w:color w:val="000000"/>
          <w:sz w:val="22"/>
          <w:szCs w:val="22"/>
        </w:rPr>
        <w:tab/>
      </w:r>
      <w:r w:rsidR="003E7FFB" w:rsidRPr="005D6363">
        <w:rPr>
          <w:rFonts w:asciiTheme="minorHAnsi" w:hAnsiTheme="minorHAnsi" w:cstheme="minorHAnsi"/>
          <w:color w:val="000000"/>
          <w:sz w:val="22"/>
          <w:szCs w:val="22"/>
        </w:rPr>
        <w:t>3 heures</w:t>
      </w:r>
    </w:p>
    <w:p w14:paraId="3B9B47E5" w14:textId="77777777" w:rsidR="00944A74" w:rsidRPr="005D6363" w:rsidRDefault="00944A74" w:rsidP="00944A74">
      <w:pPr>
        <w:widowControl w:val="0"/>
        <w:autoSpaceDE w:val="0"/>
        <w:autoSpaceDN w:val="0"/>
        <w:adjustRightInd w:val="0"/>
        <w:rPr>
          <w:rFonts w:asciiTheme="minorHAnsi" w:hAnsiTheme="minorHAnsi" w:cstheme="minorHAnsi"/>
          <w:b/>
          <w:bCs/>
          <w:color w:val="000000"/>
          <w:sz w:val="22"/>
          <w:szCs w:val="22"/>
        </w:rPr>
      </w:pPr>
    </w:p>
    <w:p w14:paraId="638112BE" w14:textId="5513A24E" w:rsidR="00944A74" w:rsidRPr="005D6363" w:rsidRDefault="00944A74" w:rsidP="001B7D84">
      <w:pPr>
        <w:widowControl w:val="0"/>
        <w:tabs>
          <w:tab w:val="left" w:pos="2509"/>
        </w:tabs>
        <w:autoSpaceDE w:val="0"/>
        <w:autoSpaceDN w:val="0"/>
        <w:adjustRightInd w:val="0"/>
        <w:rPr>
          <w:rFonts w:asciiTheme="minorHAnsi" w:hAnsiTheme="minorHAnsi" w:cstheme="minorHAnsi"/>
          <w:color w:val="000000"/>
          <w:sz w:val="22"/>
          <w:szCs w:val="22"/>
        </w:rPr>
      </w:pPr>
      <w:r w:rsidRPr="005D6363">
        <w:rPr>
          <w:rFonts w:asciiTheme="minorHAnsi" w:hAnsiTheme="minorHAnsi" w:cstheme="minorHAnsi"/>
          <w:sz w:val="22"/>
          <w:szCs w:val="22"/>
        </w:rPr>
        <w:tab/>
      </w:r>
    </w:p>
    <w:p w14:paraId="69B8ECD2" w14:textId="15E15D77" w:rsidR="00944A74" w:rsidRPr="005D6363" w:rsidRDefault="00944A74" w:rsidP="00944A74">
      <w:pPr>
        <w:widowControl w:val="0"/>
        <w:tabs>
          <w:tab w:val="left" w:pos="56"/>
        </w:tabs>
        <w:autoSpaceDE w:val="0"/>
        <w:autoSpaceDN w:val="0"/>
        <w:adjustRightInd w:val="0"/>
        <w:rPr>
          <w:rFonts w:asciiTheme="minorHAnsi" w:hAnsiTheme="minorHAnsi" w:cstheme="minorHAnsi"/>
          <w:b/>
          <w:bCs/>
          <w:color w:val="000000"/>
          <w:sz w:val="22"/>
          <w:szCs w:val="22"/>
        </w:rPr>
      </w:pPr>
      <w:r w:rsidRPr="005D6363">
        <w:rPr>
          <w:rFonts w:asciiTheme="minorHAnsi" w:hAnsiTheme="minorHAnsi" w:cstheme="minorHAnsi"/>
          <w:sz w:val="22"/>
          <w:szCs w:val="22"/>
        </w:rPr>
        <w:tab/>
      </w:r>
      <w:r w:rsidRPr="005D6363">
        <w:rPr>
          <w:rFonts w:asciiTheme="minorHAnsi" w:hAnsiTheme="minorHAnsi" w:cstheme="minorHAnsi"/>
          <w:b/>
          <w:bCs/>
          <w:color w:val="000000"/>
          <w:sz w:val="22"/>
          <w:szCs w:val="22"/>
        </w:rPr>
        <w:t xml:space="preserve">Document(s) autorisé(s) : </w:t>
      </w:r>
      <w:r w:rsidR="003E7FFB" w:rsidRPr="005D6363">
        <w:rPr>
          <w:rFonts w:asciiTheme="minorHAnsi" w:hAnsiTheme="minorHAnsi" w:cstheme="minorHAnsi"/>
          <w:color w:val="000000"/>
          <w:sz w:val="22"/>
          <w:szCs w:val="22"/>
        </w:rPr>
        <w:t>code de commerce</w:t>
      </w:r>
      <w:r w:rsidR="00AF5013" w:rsidRPr="005D6363">
        <w:rPr>
          <w:rFonts w:asciiTheme="minorHAnsi" w:hAnsiTheme="minorHAnsi" w:cstheme="minorHAnsi"/>
          <w:color w:val="000000"/>
          <w:sz w:val="22"/>
          <w:szCs w:val="22"/>
        </w:rPr>
        <w:t xml:space="preserve"> – Dictionnaire bilingue sous format papier pour les non francophones</w:t>
      </w:r>
    </w:p>
    <w:p w14:paraId="17167B77" w14:textId="5C89ABDF" w:rsidR="00944A74" w:rsidRDefault="00944A74" w:rsidP="00C62AB8">
      <w:pPr>
        <w:pBdr>
          <w:bottom w:val="single" w:sz="6" w:space="1" w:color="auto"/>
        </w:pBdr>
      </w:pPr>
    </w:p>
    <w:p w14:paraId="2893644D" w14:textId="0CDDDBBD" w:rsidR="002D49CB" w:rsidRPr="002D49CB" w:rsidRDefault="002D49CB" w:rsidP="002D49CB">
      <w:pPr>
        <w:pBdr>
          <w:bottom w:val="single" w:sz="6" w:space="1" w:color="auto"/>
        </w:pBdr>
        <w:jc w:val="right"/>
        <w:rPr>
          <w:i/>
        </w:rPr>
      </w:pPr>
      <w:r w:rsidRPr="002D49CB">
        <w:rPr>
          <w:i/>
        </w:rPr>
        <w:t>Ce sujet comporte 2 pages. Avant de composer, assurez-vous que votre sujet est complet.</w:t>
      </w:r>
    </w:p>
    <w:p w14:paraId="159D1194" w14:textId="77777777" w:rsidR="002D49CB" w:rsidRDefault="002D49CB" w:rsidP="00C62AB8">
      <w:pPr>
        <w:pBdr>
          <w:bottom w:val="single" w:sz="6" w:space="1" w:color="auto"/>
        </w:pBdr>
      </w:pPr>
    </w:p>
    <w:p w14:paraId="2E8C89C9" w14:textId="608EB65D" w:rsidR="003E7FFB" w:rsidRDefault="003E7FFB" w:rsidP="00C62AB8"/>
    <w:p w14:paraId="4914B3D7" w14:textId="6BA3A45F" w:rsidR="00B12050" w:rsidRPr="005D6363" w:rsidRDefault="00B12050" w:rsidP="001B7D84">
      <w:pPr>
        <w:jc w:val="center"/>
        <w:rPr>
          <w:rFonts w:asciiTheme="minorHAnsi" w:hAnsiTheme="minorHAnsi" w:cstheme="minorHAnsi"/>
          <w:b/>
          <w:bCs/>
          <w:sz w:val="22"/>
          <w:szCs w:val="22"/>
        </w:rPr>
      </w:pPr>
      <w:r w:rsidRPr="005D6363">
        <w:rPr>
          <w:rFonts w:asciiTheme="minorHAnsi" w:hAnsiTheme="minorHAnsi" w:cstheme="minorHAnsi"/>
          <w:b/>
          <w:bCs/>
          <w:sz w:val="22"/>
          <w:szCs w:val="22"/>
        </w:rPr>
        <w:t xml:space="preserve">Il sera traité </w:t>
      </w:r>
      <w:r w:rsidRPr="005D6363">
        <w:rPr>
          <w:rFonts w:asciiTheme="minorHAnsi" w:hAnsiTheme="minorHAnsi" w:cstheme="minorHAnsi"/>
          <w:b/>
          <w:bCs/>
          <w:sz w:val="22"/>
          <w:szCs w:val="22"/>
          <w:u w:val="single"/>
        </w:rPr>
        <w:t>au choix</w:t>
      </w:r>
      <w:r w:rsidRPr="005D6363">
        <w:rPr>
          <w:rFonts w:asciiTheme="minorHAnsi" w:hAnsiTheme="minorHAnsi" w:cstheme="minorHAnsi"/>
          <w:b/>
          <w:bCs/>
          <w:sz w:val="22"/>
          <w:szCs w:val="22"/>
        </w:rPr>
        <w:t xml:space="preserve"> de l’un des sujets suivants</w:t>
      </w:r>
    </w:p>
    <w:p w14:paraId="7FE5AE9E" w14:textId="77777777" w:rsidR="008B6D97" w:rsidRPr="006A0C20" w:rsidRDefault="008B6D97" w:rsidP="00C62AB8">
      <w:pPr>
        <w:rPr>
          <w:rFonts w:asciiTheme="minorHAnsi" w:hAnsiTheme="minorHAnsi" w:cstheme="minorHAnsi"/>
          <w:b/>
          <w:bCs/>
          <w:sz w:val="21"/>
          <w:szCs w:val="21"/>
        </w:rPr>
      </w:pPr>
    </w:p>
    <w:p w14:paraId="624144CA" w14:textId="77777777" w:rsidR="00B12050" w:rsidRPr="006A0C20" w:rsidRDefault="00B12050" w:rsidP="00C62AB8">
      <w:pPr>
        <w:rPr>
          <w:rFonts w:asciiTheme="minorHAnsi" w:hAnsiTheme="minorHAnsi" w:cstheme="minorHAnsi"/>
          <w:sz w:val="21"/>
          <w:szCs w:val="21"/>
        </w:rPr>
      </w:pPr>
    </w:p>
    <w:p w14:paraId="3C768D17" w14:textId="42B93805" w:rsidR="00B12050" w:rsidRPr="008B6D97" w:rsidRDefault="00B12050" w:rsidP="00C62AB8">
      <w:pPr>
        <w:rPr>
          <w:rFonts w:asciiTheme="minorHAnsi" w:hAnsiTheme="minorHAnsi" w:cstheme="minorHAnsi"/>
          <w:b/>
          <w:i/>
          <w:sz w:val="21"/>
          <w:szCs w:val="21"/>
        </w:rPr>
      </w:pPr>
      <w:r w:rsidRPr="00AF5013">
        <w:rPr>
          <w:rFonts w:asciiTheme="minorHAnsi" w:hAnsiTheme="minorHAnsi" w:cstheme="minorHAnsi"/>
          <w:sz w:val="21"/>
          <w:szCs w:val="21"/>
          <w:u w:val="single"/>
        </w:rPr>
        <w:t>1° - DISSERTATION</w:t>
      </w:r>
      <w:r w:rsidR="008B6D97">
        <w:rPr>
          <w:rFonts w:asciiTheme="minorHAnsi" w:hAnsiTheme="minorHAnsi" w:cstheme="minorHAnsi"/>
          <w:sz w:val="21"/>
          <w:szCs w:val="21"/>
        </w:rPr>
        <w:t xml:space="preserve"> : </w:t>
      </w:r>
      <w:r w:rsidR="0050651D">
        <w:rPr>
          <w:rFonts w:asciiTheme="minorHAnsi" w:hAnsiTheme="minorHAnsi" w:cstheme="minorHAnsi"/>
          <w:b/>
          <w:i/>
          <w:sz w:val="21"/>
          <w:szCs w:val="21"/>
        </w:rPr>
        <w:t>Les présomptions en droit de la concurrence</w:t>
      </w:r>
      <w:bookmarkStart w:id="0" w:name="_GoBack"/>
      <w:bookmarkEnd w:id="0"/>
    </w:p>
    <w:p w14:paraId="329BE865" w14:textId="77777777" w:rsidR="006A0C20" w:rsidRPr="006A0C20" w:rsidRDefault="006A0C20" w:rsidP="00C62AB8">
      <w:pPr>
        <w:rPr>
          <w:rFonts w:asciiTheme="minorHAnsi" w:hAnsiTheme="minorHAnsi" w:cstheme="minorHAnsi"/>
          <w:sz w:val="21"/>
          <w:szCs w:val="21"/>
        </w:rPr>
      </w:pPr>
    </w:p>
    <w:p w14:paraId="0E923409" w14:textId="77777777" w:rsidR="00B12050" w:rsidRPr="006A0C20" w:rsidRDefault="00B12050" w:rsidP="00C62AB8">
      <w:pPr>
        <w:rPr>
          <w:rFonts w:asciiTheme="minorHAnsi" w:hAnsiTheme="minorHAnsi" w:cstheme="minorHAnsi"/>
          <w:sz w:val="21"/>
          <w:szCs w:val="21"/>
        </w:rPr>
      </w:pPr>
    </w:p>
    <w:p w14:paraId="4D70915B" w14:textId="416F5928" w:rsidR="001B7D84" w:rsidRDefault="00B12050" w:rsidP="00C62AB8">
      <w:pPr>
        <w:rPr>
          <w:rFonts w:asciiTheme="minorHAnsi" w:hAnsiTheme="minorHAnsi" w:cstheme="minorHAnsi"/>
          <w:sz w:val="21"/>
          <w:szCs w:val="21"/>
          <w:u w:val="single"/>
        </w:rPr>
      </w:pPr>
      <w:r w:rsidRPr="00AF5013">
        <w:rPr>
          <w:rFonts w:asciiTheme="minorHAnsi" w:hAnsiTheme="minorHAnsi" w:cstheme="minorHAnsi"/>
          <w:sz w:val="21"/>
          <w:szCs w:val="21"/>
          <w:u w:val="single"/>
        </w:rPr>
        <w:t xml:space="preserve">2° - </w:t>
      </w:r>
      <w:r w:rsidR="0050651D">
        <w:rPr>
          <w:rFonts w:asciiTheme="minorHAnsi" w:hAnsiTheme="minorHAnsi" w:cstheme="minorHAnsi"/>
          <w:sz w:val="21"/>
          <w:szCs w:val="21"/>
          <w:u w:val="single"/>
        </w:rPr>
        <w:t>COMMENTAIRE</w:t>
      </w:r>
      <w:r w:rsidR="001B7D84">
        <w:rPr>
          <w:rFonts w:asciiTheme="minorHAnsi" w:hAnsiTheme="minorHAnsi" w:cstheme="minorHAnsi"/>
          <w:sz w:val="21"/>
          <w:szCs w:val="21"/>
          <w:u w:val="single"/>
        </w:rPr>
        <w:t xml:space="preserve"> DE TEXTE </w:t>
      </w:r>
    </w:p>
    <w:p w14:paraId="7A2F2804" w14:textId="77777777" w:rsidR="001B7D84" w:rsidRDefault="001B7D84" w:rsidP="00C62AB8">
      <w:pPr>
        <w:rPr>
          <w:rFonts w:asciiTheme="minorHAnsi" w:hAnsiTheme="minorHAnsi" w:cstheme="minorHAnsi"/>
          <w:sz w:val="21"/>
          <w:szCs w:val="21"/>
          <w:u w:val="single"/>
        </w:rPr>
      </w:pPr>
    </w:p>
    <w:p w14:paraId="5DF6FF86" w14:textId="45BBB869" w:rsidR="003E7FFB" w:rsidRDefault="001B7D84" w:rsidP="00C62AB8">
      <w:pPr>
        <w:rPr>
          <w:rFonts w:asciiTheme="minorHAnsi" w:hAnsiTheme="minorHAnsi" w:cstheme="minorHAnsi"/>
          <w:sz w:val="21"/>
          <w:szCs w:val="21"/>
        </w:rPr>
      </w:pPr>
      <w:r w:rsidRPr="001B7D84">
        <w:rPr>
          <w:rFonts w:asciiTheme="minorHAnsi" w:hAnsiTheme="minorHAnsi" w:cstheme="minorHAnsi"/>
          <w:sz w:val="21"/>
          <w:szCs w:val="21"/>
        </w:rPr>
        <w:t xml:space="preserve">Il est demandé aux étudiants de </w:t>
      </w:r>
      <w:r w:rsidRPr="001B7D84">
        <w:rPr>
          <w:rFonts w:asciiTheme="minorHAnsi" w:hAnsiTheme="minorHAnsi" w:cstheme="minorHAnsi"/>
          <w:sz w:val="21"/>
          <w:szCs w:val="21"/>
          <w:u w:val="single"/>
        </w:rPr>
        <w:t>commenter l’extrait</w:t>
      </w:r>
      <w:r w:rsidRPr="001B7D84">
        <w:rPr>
          <w:rFonts w:asciiTheme="minorHAnsi" w:hAnsiTheme="minorHAnsi" w:cstheme="minorHAnsi"/>
          <w:sz w:val="21"/>
          <w:szCs w:val="21"/>
        </w:rPr>
        <w:t xml:space="preserve"> suivant emprunté aux </w:t>
      </w:r>
      <w:r w:rsidRPr="001B7D84">
        <w:rPr>
          <w:rFonts w:asciiTheme="minorHAnsi" w:hAnsiTheme="minorHAnsi" w:cstheme="minorHAnsi"/>
          <w:i/>
          <w:iCs/>
          <w:sz w:val="21"/>
          <w:szCs w:val="21"/>
        </w:rPr>
        <w:t>Orientations sur les priorités retenues par la Commission pour l'application de l'article 82 du traité CE aux pratiques d'éviction abusives des entreprises dominantes</w:t>
      </w:r>
      <w:r>
        <w:rPr>
          <w:rFonts w:asciiTheme="minorHAnsi" w:hAnsiTheme="minorHAnsi" w:cstheme="minorHAnsi"/>
          <w:sz w:val="21"/>
          <w:szCs w:val="21"/>
        </w:rPr>
        <w:t>, en s’appuyant sur la jurisprudence, de la plus ancienne à la plus récente.</w:t>
      </w:r>
    </w:p>
    <w:p w14:paraId="40AF9A60" w14:textId="77777777" w:rsidR="001B7D84" w:rsidRDefault="001B7D84" w:rsidP="00C62AB8">
      <w:pPr>
        <w:rPr>
          <w:rFonts w:asciiTheme="minorHAnsi" w:hAnsiTheme="minorHAnsi" w:cstheme="minorHAnsi"/>
          <w:sz w:val="21"/>
          <w:szCs w:val="21"/>
        </w:rPr>
      </w:pPr>
    </w:p>
    <w:p w14:paraId="4D9E7361" w14:textId="72AF0DC1" w:rsidR="001B7D84" w:rsidRDefault="001B7D84" w:rsidP="00C62AB8">
      <w:pPr>
        <w:rPr>
          <w:rFonts w:asciiTheme="minorHAnsi" w:hAnsiTheme="minorHAnsi" w:cstheme="minorHAnsi"/>
          <w:sz w:val="21"/>
          <w:szCs w:val="21"/>
          <w:u w:val="single"/>
        </w:rPr>
      </w:pPr>
      <w:r>
        <w:rPr>
          <w:rFonts w:asciiTheme="minorHAnsi" w:hAnsiTheme="minorHAnsi" w:cstheme="minorHAnsi"/>
          <w:sz w:val="21"/>
          <w:szCs w:val="21"/>
        </w:rPr>
        <w:t>Attention, le devoir ne doit pas apparaître comme une récitation de cours.</w:t>
      </w:r>
    </w:p>
    <w:p w14:paraId="6C3176EE" w14:textId="40AC7781" w:rsidR="001B7D84" w:rsidRDefault="001B7D84" w:rsidP="00C62AB8">
      <w:pPr>
        <w:rPr>
          <w:rFonts w:asciiTheme="minorHAnsi" w:hAnsiTheme="minorHAnsi" w:cstheme="minorHAnsi"/>
          <w:sz w:val="21"/>
          <w:szCs w:val="21"/>
          <w:u w:val="single"/>
        </w:rPr>
      </w:pPr>
    </w:p>
    <w:p w14:paraId="33717132" w14:textId="22106322" w:rsidR="001B7D84" w:rsidRDefault="001B7D84" w:rsidP="00C62AB8">
      <w:pPr>
        <w:rPr>
          <w:rFonts w:asciiTheme="minorHAnsi" w:hAnsiTheme="minorHAnsi" w:cstheme="minorHAnsi"/>
          <w:sz w:val="21"/>
          <w:szCs w:val="21"/>
          <w:u w:val="single"/>
        </w:rPr>
      </w:pPr>
    </w:p>
    <w:p w14:paraId="657DD159" w14:textId="77777777" w:rsidR="001B7D84" w:rsidRPr="001B7D84" w:rsidRDefault="001B7D84" w:rsidP="001B7D84">
      <w:pPr>
        <w:pStyle w:val="ti-grseq-1"/>
        <w:shd w:val="clear" w:color="auto" w:fill="FFFFFF"/>
        <w:spacing w:before="240" w:beforeAutospacing="0" w:after="120" w:afterAutospacing="0"/>
        <w:jc w:val="both"/>
        <w:rPr>
          <w:b/>
          <w:bCs/>
          <w:color w:val="000000"/>
          <w:sz w:val="22"/>
          <w:szCs w:val="22"/>
        </w:rPr>
      </w:pPr>
      <w:r w:rsidRPr="001B7D84">
        <w:rPr>
          <w:b/>
          <w:bCs/>
          <w:color w:val="000000"/>
          <w:sz w:val="22"/>
          <w:szCs w:val="22"/>
        </w:rPr>
        <w:t> Pratiques d'éviction fondées sur les prix</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
        <w:gridCol w:w="8783"/>
      </w:tblGrid>
      <w:tr w:rsidR="001B7D84" w:rsidRPr="001B7D84" w14:paraId="61134FD4" w14:textId="77777777" w:rsidTr="001B7D84">
        <w:trPr>
          <w:tblCellSpacing w:w="0" w:type="dxa"/>
        </w:trPr>
        <w:tc>
          <w:tcPr>
            <w:tcW w:w="0" w:type="auto"/>
            <w:shd w:val="clear" w:color="auto" w:fill="FFFFFF"/>
            <w:hideMark/>
          </w:tcPr>
          <w:p w14:paraId="26D52052"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23.</w:t>
            </w:r>
          </w:p>
        </w:tc>
        <w:tc>
          <w:tcPr>
            <w:tcW w:w="0" w:type="auto"/>
            <w:shd w:val="clear" w:color="auto" w:fill="FFFFFF"/>
            <w:hideMark/>
          </w:tcPr>
          <w:p w14:paraId="5945AD39"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Les considérations exposées aux points 23 à 27 s'appliquent aux pratiques d'éviction fondées sur les prix. Une concurrence vigoureuse par les prix est généralement profitable aux consommateurs. Pour éviter l'éviction anticoncurrentielle, la Commission n'interviendra normalement que lorsque les pratiques considérées ont déjà entravé ou sont de nature à entraver la concurrence d'entreprises considérées comme aussi efficaces que l'entreprise dominante</w:t>
            </w:r>
            <w:hyperlink r:id="rId7" w:anchor="ntr17-C_2009045FR.01000701-E0017" w:history="1">
              <w:r w:rsidRPr="001B7D84">
                <w:rPr>
                  <w:rStyle w:val="Lienhypertexte"/>
                  <w:rFonts w:ascii="inherit" w:hAnsi="inherit"/>
                  <w:sz w:val="22"/>
                  <w:szCs w:val="22"/>
                </w:rPr>
                <w:t> (</w:t>
              </w:r>
              <w:r w:rsidRPr="001B7D84">
                <w:rPr>
                  <w:rStyle w:val="super"/>
                  <w:rFonts w:ascii="inherit" w:hAnsi="inherit"/>
                  <w:color w:val="0000FF"/>
                  <w:sz w:val="15"/>
                  <w:szCs w:val="16"/>
                  <w:u w:val="single"/>
                  <w:vertAlign w:val="superscript"/>
                </w:rPr>
                <w:t>17</w:t>
              </w:r>
              <w:r w:rsidRPr="001B7D84">
                <w:rPr>
                  <w:rStyle w:val="Lienhypertexte"/>
                  <w:rFonts w:ascii="inherit" w:hAnsi="inherit"/>
                  <w:sz w:val="22"/>
                  <w:szCs w:val="22"/>
                </w:rPr>
                <w:t>)</w:t>
              </w:r>
            </w:hyperlink>
            <w:r w:rsidRPr="001B7D84">
              <w:rPr>
                <w:rFonts w:ascii="inherit" w:hAnsi="inherit"/>
                <w:color w:val="000000"/>
                <w:sz w:val="22"/>
                <w:szCs w:val="22"/>
              </w:rPr>
              <w:t>.</w:t>
            </w:r>
          </w:p>
        </w:tc>
      </w:tr>
    </w:tbl>
    <w:p w14:paraId="3CEA55FA" w14:textId="77777777" w:rsidR="001B7D84" w:rsidRPr="001B7D84" w:rsidRDefault="001B7D84" w:rsidP="001B7D84">
      <w:pPr>
        <w:rPr>
          <w:vanish/>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
        <w:gridCol w:w="8783"/>
      </w:tblGrid>
      <w:tr w:rsidR="001B7D84" w:rsidRPr="001B7D84" w14:paraId="079A2809" w14:textId="77777777" w:rsidTr="001B7D84">
        <w:trPr>
          <w:tblCellSpacing w:w="0" w:type="dxa"/>
        </w:trPr>
        <w:tc>
          <w:tcPr>
            <w:tcW w:w="0" w:type="auto"/>
            <w:shd w:val="clear" w:color="auto" w:fill="FFFFFF"/>
            <w:hideMark/>
          </w:tcPr>
          <w:p w14:paraId="04F1291F"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24.</w:t>
            </w:r>
          </w:p>
        </w:tc>
        <w:tc>
          <w:tcPr>
            <w:tcW w:w="0" w:type="auto"/>
            <w:shd w:val="clear" w:color="auto" w:fill="FFFFFF"/>
            <w:hideMark/>
          </w:tcPr>
          <w:p w14:paraId="32C340D0"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 xml:space="preserve">La Commission reconnaît cependant que, dans certaines circonstances, un concurrent moins efficace peut également exercer une contrainte qui doit être prise en considération lorsqu'il s'agit de déterminer si un comportement déterminé en matière de prix entraîne une éviction anticoncurrentielle. Elle examinera cette contrainte d'une manière dynamique, étant donné qu'en l'absence d'une pratique abusive ce concurrent peut bénéficier d'avantages liés à la </w:t>
            </w:r>
            <w:r w:rsidRPr="001B7D84">
              <w:rPr>
                <w:rFonts w:ascii="inherit" w:hAnsi="inherit"/>
                <w:color w:val="000000"/>
                <w:sz w:val="22"/>
                <w:szCs w:val="22"/>
              </w:rPr>
              <w:lastRenderedPageBreak/>
              <w:t>demande, tels que les effets de réseau et d'apprentissage, qui tendront à renforcer son efficacité.</w:t>
            </w:r>
          </w:p>
        </w:tc>
      </w:tr>
    </w:tbl>
    <w:p w14:paraId="3FFE84C9" w14:textId="77777777" w:rsidR="001B7D84" w:rsidRPr="001B7D84" w:rsidRDefault="001B7D84" w:rsidP="001B7D84">
      <w:pPr>
        <w:rPr>
          <w:vanish/>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
        <w:gridCol w:w="8783"/>
      </w:tblGrid>
      <w:tr w:rsidR="001B7D84" w:rsidRPr="001B7D84" w14:paraId="4949A024" w14:textId="77777777" w:rsidTr="001B7D84">
        <w:trPr>
          <w:tblCellSpacing w:w="0" w:type="dxa"/>
        </w:trPr>
        <w:tc>
          <w:tcPr>
            <w:tcW w:w="0" w:type="auto"/>
            <w:shd w:val="clear" w:color="auto" w:fill="FFFFFF"/>
            <w:hideMark/>
          </w:tcPr>
          <w:p w14:paraId="2238F09B"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25.</w:t>
            </w:r>
          </w:p>
        </w:tc>
        <w:tc>
          <w:tcPr>
            <w:tcW w:w="0" w:type="auto"/>
            <w:shd w:val="clear" w:color="auto" w:fill="FFFFFF"/>
            <w:hideMark/>
          </w:tcPr>
          <w:p w14:paraId="7D733F20"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Pour déterminer si même un concurrent hypothétique aussi efficace que l'entreprise dominante risque de se voir évincer par les pratiques en question, la Commission examinera les données économiques se rapportant aux coûts et aux prix de vente, et vérifiera notamment si l'entreprise dominante pratique des prix inférieurs aux coûts. Cette méthode suppose toutefois que des données suffisamment fiables soient disponibles. Lorsqu'elles seront disponibles, la Commission utilisera les informations sur les coûts de l'entreprise dominante elle-même. À défaut de données fiables sur ces coûts, la Commission peut décider d'utiliser les coûts de concurrents ou d'autres données fiables comparables.</w:t>
            </w:r>
          </w:p>
        </w:tc>
      </w:tr>
    </w:tbl>
    <w:p w14:paraId="2891661D" w14:textId="77777777" w:rsidR="001B7D84" w:rsidRPr="001B7D84" w:rsidRDefault="001B7D84" w:rsidP="001B7D84">
      <w:pPr>
        <w:rPr>
          <w:vanish/>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
        <w:gridCol w:w="8783"/>
      </w:tblGrid>
      <w:tr w:rsidR="001B7D84" w:rsidRPr="001B7D84" w14:paraId="2F7AC1BB" w14:textId="77777777" w:rsidTr="001B7D84">
        <w:trPr>
          <w:tblCellSpacing w:w="0" w:type="dxa"/>
        </w:trPr>
        <w:tc>
          <w:tcPr>
            <w:tcW w:w="0" w:type="auto"/>
            <w:shd w:val="clear" w:color="auto" w:fill="FFFFFF"/>
            <w:hideMark/>
          </w:tcPr>
          <w:p w14:paraId="6D0722A0"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26.</w:t>
            </w:r>
          </w:p>
        </w:tc>
        <w:tc>
          <w:tcPr>
            <w:tcW w:w="0" w:type="auto"/>
            <w:shd w:val="clear" w:color="auto" w:fill="FFFFFF"/>
            <w:hideMark/>
          </w:tcPr>
          <w:p w14:paraId="45C847E4"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Les critères de coûts que la Commission sera susceptible d'appliquer sont le coût évitable moyen (CEM) et le coût marginal moyen à long terme (CMMLT)</w:t>
            </w:r>
            <w:hyperlink r:id="rId8" w:anchor="ntr18-C_2009045FR.01000701-E0018" w:history="1">
              <w:r w:rsidRPr="001B7D84">
                <w:rPr>
                  <w:rStyle w:val="Lienhypertexte"/>
                  <w:rFonts w:ascii="inherit" w:hAnsi="inherit"/>
                  <w:sz w:val="22"/>
                  <w:szCs w:val="22"/>
                </w:rPr>
                <w:t> (</w:t>
              </w:r>
              <w:r w:rsidRPr="001B7D84">
                <w:rPr>
                  <w:rStyle w:val="super"/>
                  <w:rFonts w:ascii="inherit" w:hAnsi="inherit"/>
                  <w:color w:val="0000FF"/>
                  <w:sz w:val="15"/>
                  <w:szCs w:val="16"/>
                  <w:u w:val="single"/>
                  <w:vertAlign w:val="superscript"/>
                </w:rPr>
                <w:t>18</w:t>
              </w:r>
              <w:r w:rsidRPr="001B7D84">
                <w:rPr>
                  <w:rStyle w:val="Lienhypertexte"/>
                  <w:rFonts w:ascii="inherit" w:hAnsi="inherit"/>
                  <w:sz w:val="22"/>
                  <w:szCs w:val="22"/>
                </w:rPr>
                <w:t>)</w:t>
              </w:r>
            </w:hyperlink>
            <w:r w:rsidRPr="001B7D84">
              <w:rPr>
                <w:rFonts w:ascii="inherit" w:hAnsi="inherit"/>
                <w:color w:val="000000"/>
                <w:sz w:val="22"/>
                <w:szCs w:val="22"/>
              </w:rPr>
              <w:t>. Si le coût évitable moyen n'est pas couvert, il est probable que l'entreprise dominante sacrifie ses profits à court terme et qu'un concurrent aussi efficace ne peut satisfaire les consommateurs visés sans subir de pertes. Le CMMLT est généralement supérieur au CEM parce que, contrairement au CEM (qui ne comprend que les coûts fixes supportés pendant la période examinée), il inclut les coûts fixes propres au produit supportés pendant la période d'exercice des pratiques abusives présumées. Le fait que le CMMLT ne soit pas couvert indique que l'entreprise dominante ne couvre pas tous les coûts fixes (imputables) de la production du bien ou du service en cause et qu'un concurrent aussi efficace pourrait être évincé du marché</w:t>
            </w:r>
            <w:hyperlink r:id="rId9" w:anchor="ntr19-C_2009045FR.01000701-E0019" w:history="1">
              <w:r w:rsidRPr="001B7D84">
                <w:rPr>
                  <w:rStyle w:val="Lienhypertexte"/>
                  <w:rFonts w:ascii="inherit" w:hAnsi="inherit"/>
                  <w:sz w:val="22"/>
                  <w:szCs w:val="22"/>
                </w:rPr>
                <w:t> (</w:t>
              </w:r>
              <w:r w:rsidRPr="001B7D84">
                <w:rPr>
                  <w:rStyle w:val="super"/>
                  <w:rFonts w:ascii="inherit" w:hAnsi="inherit"/>
                  <w:color w:val="0000FF"/>
                  <w:sz w:val="15"/>
                  <w:szCs w:val="16"/>
                  <w:u w:val="single"/>
                  <w:vertAlign w:val="superscript"/>
                </w:rPr>
                <w:t>19</w:t>
              </w:r>
              <w:r w:rsidRPr="001B7D84">
                <w:rPr>
                  <w:rStyle w:val="Lienhypertexte"/>
                  <w:rFonts w:ascii="inherit" w:hAnsi="inherit"/>
                  <w:sz w:val="22"/>
                  <w:szCs w:val="22"/>
                </w:rPr>
                <w:t>)</w:t>
              </w:r>
            </w:hyperlink>
            <w:r w:rsidRPr="001B7D84">
              <w:rPr>
                <w:rFonts w:ascii="inherit" w:hAnsi="inherit"/>
                <w:color w:val="000000"/>
                <w:sz w:val="22"/>
                <w:szCs w:val="22"/>
              </w:rPr>
              <w:t>.</w:t>
            </w:r>
          </w:p>
        </w:tc>
      </w:tr>
    </w:tbl>
    <w:p w14:paraId="1366FCDA" w14:textId="77777777" w:rsidR="001B7D84" w:rsidRPr="001B7D84" w:rsidRDefault="001B7D84" w:rsidP="001B7D84">
      <w:pPr>
        <w:rPr>
          <w:vanish/>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
        <w:gridCol w:w="8783"/>
      </w:tblGrid>
      <w:tr w:rsidR="001B7D84" w:rsidRPr="001B7D84" w14:paraId="4F292BD2" w14:textId="77777777" w:rsidTr="001B7D84">
        <w:trPr>
          <w:tblCellSpacing w:w="0" w:type="dxa"/>
        </w:trPr>
        <w:tc>
          <w:tcPr>
            <w:tcW w:w="0" w:type="auto"/>
            <w:shd w:val="clear" w:color="auto" w:fill="FFFFFF"/>
            <w:hideMark/>
          </w:tcPr>
          <w:p w14:paraId="70FEE978"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27.</w:t>
            </w:r>
          </w:p>
        </w:tc>
        <w:tc>
          <w:tcPr>
            <w:tcW w:w="0" w:type="auto"/>
            <w:shd w:val="clear" w:color="auto" w:fill="FFFFFF"/>
            <w:hideMark/>
          </w:tcPr>
          <w:p w14:paraId="7E4F9C39" w14:textId="77777777" w:rsidR="001B7D84" w:rsidRPr="001B7D84" w:rsidRDefault="001B7D84">
            <w:pPr>
              <w:pStyle w:val="Normal1"/>
              <w:spacing w:before="120" w:beforeAutospacing="0" w:after="0" w:afterAutospacing="0"/>
              <w:jc w:val="both"/>
              <w:rPr>
                <w:rFonts w:ascii="inherit" w:hAnsi="inherit"/>
                <w:color w:val="000000"/>
                <w:sz w:val="22"/>
                <w:szCs w:val="22"/>
              </w:rPr>
            </w:pPr>
            <w:r w:rsidRPr="001B7D84">
              <w:rPr>
                <w:rFonts w:ascii="inherit" w:hAnsi="inherit"/>
                <w:color w:val="000000"/>
                <w:sz w:val="22"/>
                <w:szCs w:val="22"/>
              </w:rPr>
              <w:t>Si les données font clairement ressortir qu'un concurrent aussi efficace peut concurrencer efficacement les pratiques de prix de l'entreprise dominante, la Commission en déduira en principe que ces pratiques ne risquent guère d'avoir un effet préjudiciable sur la concurrence effective et donc sur les consommateurs; il est alors peu probable qu'elle interviendra. Si, au contraire, il en ressort que le prix appliqué par l'entreprise dominante risque d'évincer du marché des concurrents aussi efficaces, la Commission intégrera cet élément dans l'appréciation générale de l'éviction anticoncurrentielle (voir section B), en tenant compte des autres preuves quantitatives et/ou qualitatives pertinentes.</w:t>
            </w:r>
          </w:p>
        </w:tc>
      </w:tr>
    </w:tbl>
    <w:p w14:paraId="548B389B" w14:textId="6626AD1C" w:rsidR="00BF393C" w:rsidRDefault="00BF393C" w:rsidP="001B7D84"/>
    <w:p w14:paraId="5F7E06A7" w14:textId="77777777" w:rsidR="001B7D84" w:rsidRDefault="002D49CB" w:rsidP="001B7D84">
      <w:pPr>
        <w:pStyle w:val="note"/>
        <w:shd w:val="clear" w:color="auto" w:fill="FFFFFF"/>
        <w:spacing w:before="60" w:beforeAutospacing="0" w:after="60" w:afterAutospacing="0"/>
        <w:jc w:val="both"/>
        <w:rPr>
          <w:color w:val="000000"/>
          <w:sz w:val="19"/>
          <w:szCs w:val="19"/>
        </w:rPr>
      </w:pPr>
      <w:hyperlink r:id="rId10" w:anchor="ntc17-C_2009045FR.01000701-E0017" w:history="1">
        <w:r w:rsidR="001B7D84">
          <w:rPr>
            <w:rFonts w:ascii="inherit" w:hAnsi="inherit"/>
            <w:color w:val="0000FF"/>
            <w:sz w:val="19"/>
            <w:szCs w:val="19"/>
            <w:u w:val="single"/>
          </w:rPr>
          <w:br/>
        </w:r>
        <w:r w:rsidR="001B7D84">
          <w:rPr>
            <w:rStyle w:val="Lienhypertexte"/>
            <w:rFonts w:ascii="inherit" w:hAnsi="inherit"/>
            <w:sz w:val="19"/>
            <w:szCs w:val="19"/>
          </w:rPr>
          <w:t>(</w:t>
        </w:r>
        <w:r w:rsidR="001B7D84">
          <w:rPr>
            <w:rStyle w:val="super"/>
            <w:rFonts w:ascii="inherit" w:hAnsi="inherit"/>
            <w:color w:val="0000FF"/>
            <w:sz w:val="13"/>
            <w:szCs w:val="13"/>
            <w:u w:val="single"/>
            <w:vertAlign w:val="superscript"/>
          </w:rPr>
          <w:t>17</w:t>
        </w:r>
        <w:r w:rsidR="001B7D84">
          <w:rPr>
            <w:rStyle w:val="Lienhypertexte"/>
            <w:rFonts w:ascii="inherit" w:hAnsi="inherit"/>
            <w:sz w:val="19"/>
            <w:szCs w:val="19"/>
          </w:rPr>
          <w:t>)</w:t>
        </w:r>
      </w:hyperlink>
      <w:r w:rsidR="001B7D84">
        <w:rPr>
          <w:color w:val="000000"/>
          <w:sz w:val="19"/>
          <w:szCs w:val="19"/>
        </w:rPr>
        <w:t>  Voir l'affaire 62/86,</w:t>
      </w:r>
      <w:r w:rsidR="001B7D84">
        <w:rPr>
          <w:rStyle w:val="apple-converted-space"/>
          <w:color w:val="000000"/>
          <w:sz w:val="19"/>
          <w:szCs w:val="19"/>
        </w:rPr>
        <w:t> </w:t>
      </w:r>
      <w:r w:rsidR="001B7D84">
        <w:rPr>
          <w:rStyle w:val="italic"/>
          <w:rFonts w:ascii="inherit" w:hAnsi="inherit"/>
          <w:i/>
          <w:iCs/>
          <w:color w:val="000000"/>
          <w:sz w:val="19"/>
          <w:szCs w:val="19"/>
        </w:rPr>
        <w:t xml:space="preserve">AKZO </w:t>
      </w:r>
      <w:proofErr w:type="spellStart"/>
      <w:r w:rsidR="001B7D84">
        <w:rPr>
          <w:rStyle w:val="italic"/>
          <w:rFonts w:ascii="inherit" w:hAnsi="inherit"/>
          <w:i/>
          <w:iCs/>
          <w:color w:val="000000"/>
          <w:sz w:val="19"/>
          <w:szCs w:val="19"/>
        </w:rPr>
        <w:t>Chemie</w:t>
      </w:r>
      <w:proofErr w:type="spellEnd"/>
      <w:r w:rsidR="001B7D84">
        <w:rPr>
          <w:rStyle w:val="italic"/>
          <w:rFonts w:ascii="inherit" w:hAnsi="inherit"/>
          <w:i/>
          <w:iCs/>
          <w:color w:val="000000"/>
          <w:sz w:val="19"/>
          <w:szCs w:val="19"/>
        </w:rPr>
        <w:t>/Commission</w:t>
      </w:r>
      <w:r w:rsidR="001B7D84">
        <w:rPr>
          <w:color w:val="000000"/>
          <w:sz w:val="19"/>
          <w:szCs w:val="19"/>
        </w:rPr>
        <w:t>, Recueil 1991, p. I-3359, point 72: en ce qui concerne les prix inférieurs au coût total moyen, la Cour s'est prononcée comme suit: «</w:t>
      </w:r>
      <w:r w:rsidR="001B7D84">
        <w:rPr>
          <w:rStyle w:val="italic"/>
          <w:rFonts w:ascii="inherit" w:hAnsi="inherit"/>
          <w:i/>
          <w:iCs/>
          <w:color w:val="000000"/>
          <w:sz w:val="19"/>
          <w:szCs w:val="19"/>
        </w:rPr>
        <w:t>Ces prix peuvent écarter du marché des entreprises, qui sont peut-être aussi efficaces que l'entreprise dominante mais qui, en raison de leurs capacités financières moindres, sont incapables de résister à la concurrence qui leur est faite</w:t>
      </w:r>
      <w:r w:rsidR="001B7D84">
        <w:rPr>
          <w:color w:val="000000"/>
          <w:sz w:val="19"/>
          <w:szCs w:val="19"/>
        </w:rPr>
        <w:t>». Voir aussi l'arrêt du 10 avril 2008 dans l'affaire T-271/03</w:t>
      </w:r>
      <w:r w:rsidR="001B7D84">
        <w:rPr>
          <w:rStyle w:val="apple-converted-space"/>
          <w:color w:val="000000"/>
          <w:sz w:val="19"/>
          <w:szCs w:val="19"/>
        </w:rPr>
        <w:t> </w:t>
      </w:r>
      <w:r w:rsidR="001B7D84">
        <w:rPr>
          <w:rStyle w:val="italic"/>
          <w:rFonts w:ascii="inherit" w:hAnsi="inherit"/>
          <w:i/>
          <w:iCs/>
          <w:color w:val="000000"/>
          <w:sz w:val="19"/>
          <w:szCs w:val="19"/>
        </w:rPr>
        <w:t>Deutsche Telekom/Commission</w:t>
      </w:r>
      <w:r w:rsidR="001B7D84">
        <w:rPr>
          <w:color w:val="000000"/>
          <w:sz w:val="19"/>
          <w:szCs w:val="19"/>
        </w:rPr>
        <w:t>, non encore publié, point 194.</w:t>
      </w:r>
    </w:p>
    <w:p w14:paraId="00D21016" w14:textId="77777777" w:rsidR="001B7D84" w:rsidRDefault="002D49CB" w:rsidP="001B7D84">
      <w:pPr>
        <w:pStyle w:val="note"/>
        <w:shd w:val="clear" w:color="auto" w:fill="FFFFFF"/>
        <w:spacing w:before="60" w:beforeAutospacing="0" w:after="60" w:afterAutospacing="0"/>
        <w:jc w:val="both"/>
        <w:rPr>
          <w:color w:val="000000"/>
          <w:sz w:val="19"/>
          <w:szCs w:val="19"/>
        </w:rPr>
      </w:pPr>
      <w:hyperlink r:id="rId11" w:anchor="ntc18-C_2009045FR.01000701-E0018" w:history="1">
        <w:r w:rsidR="001B7D84">
          <w:rPr>
            <w:rStyle w:val="Lienhypertexte"/>
            <w:rFonts w:ascii="inherit" w:hAnsi="inherit"/>
            <w:sz w:val="19"/>
            <w:szCs w:val="19"/>
          </w:rPr>
          <w:t>(</w:t>
        </w:r>
        <w:r w:rsidR="001B7D84">
          <w:rPr>
            <w:rStyle w:val="super"/>
            <w:rFonts w:ascii="inherit" w:hAnsi="inherit"/>
            <w:color w:val="0000FF"/>
            <w:sz w:val="13"/>
            <w:szCs w:val="13"/>
            <w:u w:val="single"/>
            <w:vertAlign w:val="superscript"/>
          </w:rPr>
          <w:t>18</w:t>
        </w:r>
        <w:r w:rsidR="001B7D84">
          <w:rPr>
            <w:rStyle w:val="Lienhypertexte"/>
            <w:rFonts w:ascii="inherit" w:hAnsi="inherit"/>
            <w:sz w:val="19"/>
            <w:szCs w:val="19"/>
          </w:rPr>
          <w:t>)</w:t>
        </w:r>
      </w:hyperlink>
      <w:r w:rsidR="001B7D84">
        <w:rPr>
          <w:color w:val="000000"/>
          <w:sz w:val="19"/>
          <w:szCs w:val="19"/>
        </w:rPr>
        <w:t>  Le coût évitable moyen est la moyenne des coûts qui auraient pu être évités si l'entreprise n'avait pas produit une unité (supplémentaire), en l'occurrence celle qui aurait fait l'objet d'un comportement abusif. Dans la plupart des cas, le coût évitable moyen et le coût variable moyen (CVM) seront identiques, car ce ne sont souvent que les coûts variables qui peuvent être évités. Le coût marginal moyen à long terme (CMMLT) est la moyenne de tous les coûts (variables et fixes) qu'une entreprise supporte pour fabriquer un produit déterminé. Le CMMLT et le coût total moyen (CTM) sont de bons indicateurs l'un de l'autre; ils sont identiques dans le cas des entreprises qui ne fabriquent qu'un seul produit. Si des entreprises fabriquant plusieurs produits réalisent des économies de gamme, le CMMLT serait inférieur au CTM pour chaque produit, car les véritables coûts communs ne sont pas pris en compte dans le CMMLT. Dans le cas des produits multiples, tous les coûts qui auraient pu être évités en ne produisant pas un produit ou une gamme de produits bien précis ne sont pas considérés comme des coûts communs. Lorsque ces derniers sont élevés, il peut être nécessaire de les prendre en considération afin d'apprécier la capacité d'évincer des concurrents aussi efficaces.</w:t>
      </w:r>
    </w:p>
    <w:p w14:paraId="15BFC02F" w14:textId="77777777" w:rsidR="001B7D84" w:rsidRDefault="002D49CB" w:rsidP="001B7D84">
      <w:pPr>
        <w:pStyle w:val="note"/>
        <w:shd w:val="clear" w:color="auto" w:fill="FFFFFF"/>
        <w:spacing w:before="60" w:beforeAutospacing="0" w:after="60" w:afterAutospacing="0"/>
        <w:jc w:val="both"/>
        <w:rPr>
          <w:color w:val="000000"/>
          <w:sz w:val="19"/>
          <w:szCs w:val="19"/>
        </w:rPr>
      </w:pPr>
      <w:hyperlink r:id="rId12" w:anchor="ntc19-C_2009045FR.01000701-E0019" w:history="1">
        <w:r w:rsidR="001B7D84">
          <w:rPr>
            <w:rStyle w:val="Lienhypertexte"/>
            <w:rFonts w:ascii="inherit" w:hAnsi="inherit"/>
            <w:sz w:val="19"/>
            <w:szCs w:val="19"/>
          </w:rPr>
          <w:t>(</w:t>
        </w:r>
        <w:r w:rsidR="001B7D84">
          <w:rPr>
            <w:rStyle w:val="super"/>
            <w:rFonts w:ascii="inherit" w:hAnsi="inherit"/>
            <w:color w:val="0000FF"/>
            <w:sz w:val="13"/>
            <w:szCs w:val="13"/>
            <w:u w:val="single"/>
            <w:vertAlign w:val="superscript"/>
          </w:rPr>
          <w:t>19</w:t>
        </w:r>
        <w:r w:rsidR="001B7D84">
          <w:rPr>
            <w:rStyle w:val="Lienhypertexte"/>
            <w:rFonts w:ascii="inherit" w:hAnsi="inherit"/>
            <w:sz w:val="19"/>
            <w:szCs w:val="19"/>
          </w:rPr>
          <w:t>)</w:t>
        </w:r>
      </w:hyperlink>
      <w:r w:rsidR="001B7D84">
        <w:rPr>
          <w:color w:val="000000"/>
          <w:sz w:val="19"/>
          <w:szCs w:val="19"/>
        </w:rPr>
        <w:t>  Afin d'appliquer ces critères de coûts, il peut également être nécessaire d'étudier les recettes et les coûts de la société dominante et de ses concurrents dans un contexte plus large. Il ne suffit peut-être pas de vérifier si le prix ou les recettes couvrent les coûts du produit en cause; il peut être nécessaire d'examiner les recettes marginales lorsque le comportement de l'entreprise dominante considérée porte atteinte à ses recettes sur d'autres marchés ou d'autres produits. De la même façon, dans le cas des marchés bilatéraux, il peut être nécessaire d'examiner les recettes et les coûts des deux côtés simultanément.</w:t>
      </w:r>
    </w:p>
    <w:p w14:paraId="74CBF20C" w14:textId="77777777" w:rsidR="001B7D84" w:rsidRDefault="001B7D84" w:rsidP="001B7D84"/>
    <w:sectPr w:rsidR="001B7D84" w:rsidSect="002D49CB">
      <w:footerReference w:type="even" r:id="rId13"/>
      <w:footerReference w:type="defaul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862D" w14:textId="77777777" w:rsidR="001D401D" w:rsidRDefault="001D401D" w:rsidP="002266FC">
      <w:r>
        <w:separator/>
      </w:r>
    </w:p>
  </w:endnote>
  <w:endnote w:type="continuationSeparator" w:id="0">
    <w:p w14:paraId="1F604EBF" w14:textId="77777777" w:rsidR="001D401D" w:rsidRDefault="001D401D" w:rsidP="0022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6881505"/>
      <w:docPartObj>
        <w:docPartGallery w:val="Page Numbers (Bottom of Page)"/>
        <w:docPartUnique/>
      </w:docPartObj>
    </w:sdtPr>
    <w:sdtEndPr>
      <w:rPr>
        <w:rStyle w:val="Numrodepage"/>
      </w:rPr>
    </w:sdtEndPr>
    <w:sdtContent>
      <w:p w14:paraId="32AF9866" w14:textId="77DA7CC0" w:rsidR="002266FC" w:rsidRDefault="002266FC" w:rsidP="00CB06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CDFEAB" w14:textId="77777777" w:rsidR="002266FC" w:rsidRDefault="002266FC" w:rsidP="002266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82226636"/>
      <w:docPartObj>
        <w:docPartGallery w:val="Page Numbers (Bottom of Page)"/>
        <w:docPartUnique/>
      </w:docPartObj>
    </w:sdtPr>
    <w:sdtEndPr>
      <w:rPr>
        <w:rStyle w:val="Numrodepage"/>
      </w:rPr>
    </w:sdtEndPr>
    <w:sdtContent>
      <w:p w14:paraId="37CD9E98" w14:textId="44EEC17B" w:rsidR="002266FC" w:rsidRDefault="002266FC" w:rsidP="00CB06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D49CB">
          <w:rPr>
            <w:rStyle w:val="Numrodepage"/>
            <w:noProof/>
          </w:rPr>
          <w:t>2</w:t>
        </w:r>
        <w:r>
          <w:rPr>
            <w:rStyle w:val="Numrodepage"/>
          </w:rPr>
          <w:fldChar w:fldCharType="end"/>
        </w:r>
        <w:r w:rsidR="002D49CB">
          <w:rPr>
            <w:rStyle w:val="Numrodepage"/>
          </w:rPr>
          <w:t>/2</w:t>
        </w:r>
      </w:p>
    </w:sdtContent>
  </w:sdt>
  <w:p w14:paraId="354BCB93" w14:textId="77777777" w:rsidR="002266FC" w:rsidRDefault="002266FC" w:rsidP="002266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3A60" w14:textId="77777777" w:rsidR="001D401D" w:rsidRDefault="001D401D" w:rsidP="002266FC">
      <w:r>
        <w:separator/>
      </w:r>
    </w:p>
  </w:footnote>
  <w:footnote w:type="continuationSeparator" w:id="0">
    <w:p w14:paraId="5C106598" w14:textId="77777777" w:rsidR="001D401D" w:rsidRDefault="001D401D" w:rsidP="0022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3D9"/>
    <w:multiLevelType w:val="multilevel"/>
    <w:tmpl w:val="CD6A15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E5072"/>
    <w:multiLevelType w:val="hybridMultilevel"/>
    <w:tmpl w:val="C9C4D7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CB41F5"/>
    <w:multiLevelType w:val="hybridMultilevel"/>
    <w:tmpl w:val="09927AD4"/>
    <w:lvl w:ilvl="0" w:tplc="DA0EE77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62A57"/>
    <w:multiLevelType w:val="hybridMultilevel"/>
    <w:tmpl w:val="D99A80F8"/>
    <w:lvl w:ilvl="0" w:tplc="A0206A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6D6ACF"/>
    <w:multiLevelType w:val="multilevel"/>
    <w:tmpl w:val="C484A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1C4E34"/>
    <w:multiLevelType w:val="hybridMultilevel"/>
    <w:tmpl w:val="4106F0E0"/>
    <w:lvl w:ilvl="0" w:tplc="EC3C6230">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9010D0"/>
    <w:multiLevelType w:val="hybridMultilevel"/>
    <w:tmpl w:val="F4E806A8"/>
    <w:lvl w:ilvl="0" w:tplc="50B48A7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B7EF7"/>
    <w:multiLevelType w:val="hybridMultilevel"/>
    <w:tmpl w:val="24BCCC24"/>
    <w:lvl w:ilvl="0" w:tplc="2F8A38F4">
      <w:start w:val="1"/>
      <w:numFmt w:val="bullet"/>
      <w:lvlText w:val="•"/>
      <w:lvlJc w:val="left"/>
      <w:pPr>
        <w:tabs>
          <w:tab w:val="num" w:pos="720"/>
        </w:tabs>
        <w:ind w:left="720" w:hanging="360"/>
      </w:pPr>
      <w:rPr>
        <w:rFonts w:ascii="Arial" w:hAnsi="Arial" w:hint="default"/>
      </w:rPr>
    </w:lvl>
    <w:lvl w:ilvl="1" w:tplc="5E148A94" w:tentative="1">
      <w:start w:val="1"/>
      <w:numFmt w:val="bullet"/>
      <w:lvlText w:val="•"/>
      <w:lvlJc w:val="left"/>
      <w:pPr>
        <w:tabs>
          <w:tab w:val="num" w:pos="1440"/>
        </w:tabs>
        <w:ind w:left="1440" w:hanging="360"/>
      </w:pPr>
      <w:rPr>
        <w:rFonts w:ascii="Arial" w:hAnsi="Arial" w:hint="default"/>
      </w:rPr>
    </w:lvl>
    <w:lvl w:ilvl="2" w:tplc="D5047508" w:tentative="1">
      <w:start w:val="1"/>
      <w:numFmt w:val="bullet"/>
      <w:lvlText w:val="•"/>
      <w:lvlJc w:val="left"/>
      <w:pPr>
        <w:tabs>
          <w:tab w:val="num" w:pos="2160"/>
        </w:tabs>
        <w:ind w:left="2160" w:hanging="360"/>
      </w:pPr>
      <w:rPr>
        <w:rFonts w:ascii="Arial" w:hAnsi="Arial" w:hint="default"/>
      </w:rPr>
    </w:lvl>
    <w:lvl w:ilvl="3" w:tplc="2E32A242" w:tentative="1">
      <w:start w:val="1"/>
      <w:numFmt w:val="bullet"/>
      <w:lvlText w:val="•"/>
      <w:lvlJc w:val="left"/>
      <w:pPr>
        <w:tabs>
          <w:tab w:val="num" w:pos="2880"/>
        </w:tabs>
        <w:ind w:left="2880" w:hanging="360"/>
      </w:pPr>
      <w:rPr>
        <w:rFonts w:ascii="Arial" w:hAnsi="Arial" w:hint="default"/>
      </w:rPr>
    </w:lvl>
    <w:lvl w:ilvl="4" w:tplc="66786C46" w:tentative="1">
      <w:start w:val="1"/>
      <w:numFmt w:val="bullet"/>
      <w:lvlText w:val="•"/>
      <w:lvlJc w:val="left"/>
      <w:pPr>
        <w:tabs>
          <w:tab w:val="num" w:pos="3600"/>
        </w:tabs>
        <w:ind w:left="3600" w:hanging="360"/>
      </w:pPr>
      <w:rPr>
        <w:rFonts w:ascii="Arial" w:hAnsi="Arial" w:hint="default"/>
      </w:rPr>
    </w:lvl>
    <w:lvl w:ilvl="5" w:tplc="394C959A" w:tentative="1">
      <w:start w:val="1"/>
      <w:numFmt w:val="bullet"/>
      <w:lvlText w:val="•"/>
      <w:lvlJc w:val="left"/>
      <w:pPr>
        <w:tabs>
          <w:tab w:val="num" w:pos="4320"/>
        </w:tabs>
        <w:ind w:left="4320" w:hanging="360"/>
      </w:pPr>
      <w:rPr>
        <w:rFonts w:ascii="Arial" w:hAnsi="Arial" w:hint="default"/>
      </w:rPr>
    </w:lvl>
    <w:lvl w:ilvl="6" w:tplc="CE6A372E" w:tentative="1">
      <w:start w:val="1"/>
      <w:numFmt w:val="bullet"/>
      <w:lvlText w:val="•"/>
      <w:lvlJc w:val="left"/>
      <w:pPr>
        <w:tabs>
          <w:tab w:val="num" w:pos="5040"/>
        </w:tabs>
        <w:ind w:left="5040" w:hanging="360"/>
      </w:pPr>
      <w:rPr>
        <w:rFonts w:ascii="Arial" w:hAnsi="Arial" w:hint="default"/>
      </w:rPr>
    </w:lvl>
    <w:lvl w:ilvl="7" w:tplc="5C746462" w:tentative="1">
      <w:start w:val="1"/>
      <w:numFmt w:val="bullet"/>
      <w:lvlText w:val="•"/>
      <w:lvlJc w:val="left"/>
      <w:pPr>
        <w:tabs>
          <w:tab w:val="num" w:pos="5760"/>
        </w:tabs>
        <w:ind w:left="5760" w:hanging="360"/>
      </w:pPr>
      <w:rPr>
        <w:rFonts w:ascii="Arial" w:hAnsi="Arial" w:hint="default"/>
      </w:rPr>
    </w:lvl>
    <w:lvl w:ilvl="8" w:tplc="69AEC9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550DA8"/>
    <w:multiLevelType w:val="multilevel"/>
    <w:tmpl w:val="2AB81FD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8963DF2"/>
    <w:multiLevelType w:val="multilevel"/>
    <w:tmpl w:val="39C8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D6529C"/>
    <w:multiLevelType w:val="multilevel"/>
    <w:tmpl w:val="DD6E60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607A50"/>
    <w:multiLevelType w:val="hybridMultilevel"/>
    <w:tmpl w:val="28582B7A"/>
    <w:lvl w:ilvl="0" w:tplc="658C1524">
      <w:start w:val="1"/>
      <w:numFmt w:val="bullet"/>
      <w:lvlText w:val="•"/>
      <w:lvlJc w:val="left"/>
      <w:pPr>
        <w:tabs>
          <w:tab w:val="num" w:pos="720"/>
        </w:tabs>
        <w:ind w:left="720" w:hanging="360"/>
      </w:pPr>
      <w:rPr>
        <w:rFonts w:ascii="Arial" w:hAnsi="Arial" w:hint="default"/>
      </w:rPr>
    </w:lvl>
    <w:lvl w:ilvl="1" w:tplc="71B495BE" w:tentative="1">
      <w:start w:val="1"/>
      <w:numFmt w:val="bullet"/>
      <w:lvlText w:val="•"/>
      <w:lvlJc w:val="left"/>
      <w:pPr>
        <w:tabs>
          <w:tab w:val="num" w:pos="1440"/>
        </w:tabs>
        <w:ind w:left="1440" w:hanging="360"/>
      </w:pPr>
      <w:rPr>
        <w:rFonts w:ascii="Arial" w:hAnsi="Arial" w:hint="default"/>
      </w:rPr>
    </w:lvl>
    <w:lvl w:ilvl="2" w:tplc="2B20B760" w:tentative="1">
      <w:start w:val="1"/>
      <w:numFmt w:val="bullet"/>
      <w:lvlText w:val="•"/>
      <w:lvlJc w:val="left"/>
      <w:pPr>
        <w:tabs>
          <w:tab w:val="num" w:pos="2160"/>
        </w:tabs>
        <w:ind w:left="2160" w:hanging="360"/>
      </w:pPr>
      <w:rPr>
        <w:rFonts w:ascii="Arial" w:hAnsi="Arial" w:hint="default"/>
      </w:rPr>
    </w:lvl>
    <w:lvl w:ilvl="3" w:tplc="5406DAB4" w:tentative="1">
      <w:start w:val="1"/>
      <w:numFmt w:val="bullet"/>
      <w:lvlText w:val="•"/>
      <w:lvlJc w:val="left"/>
      <w:pPr>
        <w:tabs>
          <w:tab w:val="num" w:pos="2880"/>
        </w:tabs>
        <w:ind w:left="2880" w:hanging="360"/>
      </w:pPr>
      <w:rPr>
        <w:rFonts w:ascii="Arial" w:hAnsi="Arial" w:hint="default"/>
      </w:rPr>
    </w:lvl>
    <w:lvl w:ilvl="4" w:tplc="D1CC091A" w:tentative="1">
      <w:start w:val="1"/>
      <w:numFmt w:val="bullet"/>
      <w:lvlText w:val="•"/>
      <w:lvlJc w:val="left"/>
      <w:pPr>
        <w:tabs>
          <w:tab w:val="num" w:pos="3600"/>
        </w:tabs>
        <w:ind w:left="3600" w:hanging="360"/>
      </w:pPr>
      <w:rPr>
        <w:rFonts w:ascii="Arial" w:hAnsi="Arial" w:hint="default"/>
      </w:rPr>
    </w:lvl>
    <w:lvl w:ilvl="5" w:tplc="6D7A6A98" w:tentative="1">
      <w:start w:val="1"/>
      <w:numFmt w:val="bullet"/>
      <w:lvlText w:val="•"/>
      <w:lvlJc w:val="left"/>
      <w:pPr>
        <w:tabs>
          <w:tab w:val="num" w:pos="4320"/>
        </w:tabs>
        <w:ind w:left="4320" w:hanging="360"/>
      </w:pPr>
      <w:rPr>
        <w:rFonts w:ascii="Arial" w:hAnsi="Arial" w:hint="default"/>
      </w:rPr>
    </w:lvl>
    <w:lvl w:ilvl="6" w:tplc="E676ED70" w:tentative="1">
      <w:start w:val="1"/>
      <w:numFmt w:val="bullet"/>
      <w:lvlText w:val="•"/>
      <w:lvlJc w:val="left"/>
      <w:pPr>
        <w:tabs>
          <w:tab w:val="num" w:pos="5040"/>
        </w:tabs>
        <w:ind w:left="5040" w:hanging="360"/>
      </w:pPr>
      <w:rPr>
        <w:rFonts w:ascii="Arial" w:hAnsi="Arial" w:hint="default"/>
      </w:rPr>
    </w:lvl>
    <w:lvl w:ilvl="7" w:tplc="6F72E684" w:tentative="1">
      <w:start w:val="1"/>
      <w:numFmt w:val="bullet"/>
      <w:lvlText w:val="•"/>
      <w:lvlJc w:val="left"/>
      <w:pPr>
        <w:tabs>
          <w:tab w:val="num" w:pos="5760"/>
        </w:tabs>
        <w:ind w:left="5760" w:hanging="360"/>
      </w:pPr>
      <w:rPr>
        <w:rFonts w:ascii="Arial" w:hAnsi="Arial" w:hint="default"/>
      </w:rPr>
    </w:lvl>
    <w:lvl w:ilvl="8" w:tplc="18223B4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3"/>
  </w:num>
  <w:num w:numId="4">
    <w:abstractNumId w:val="2"/>
  </w:num>
  <w:num w:numId="5">
    <w:abstractNumId w:val="5"/>
  </w:num>
  <w:num w:numId="6">
    <w:abstractNumId w:val="6"/>
  </w:num>
  <w:num w:numId="7">
    <w:abstractNumId w:val="8"/>
  </w:num>
  <w:num w:numId="8">
    <w:abstractNumId w:val="9"/>
  </w:num>
  <w:num w:numId="9">
    <w:abstractNumId w:val="4"/>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67BDE"/>
    <w:rsid w:val="001B61A2"/>
    <w:rsid w:val="001B7D84"/>
    <w:rsid w:val="001D401D"/>
    <w:rsid w:val="001F192C"/>
    <w:rsid w:val="002266FC"/>
    <w:rsid w:val="00231DA7"/>
    <w:rsid w:val="00232C36"/>
    <w:rsid w:val="00277E9B"/>
    <w:rsid w:val="002A4FCD"/>
    <w:rsid w:val="002D49CB"/>
    <w:rsid w:val="00342A6A"/>
    <w:rsid w:val="00396022"/>
    <w:rsid w:val="003E7FFB"/>
    <w:rsid w:val="00407119"/>
    <w:rsid w:val="00492ADD"/>
    <w:rsid w:val="00495B54"/>
    <w:rsid w:val="00497A55"/>
    <w:rsid w:val="004D539F"/>
    <w:rsid w:val="004E1D8E"/>
    <w:rsid w:val="0050651D"/>
    <w:rsid w:val="005D6363"/>
    <w:rsid w:val="00623606"/>
    <w:rsid w:val="006706BC"/>
    <w:rsid w:val="006A0C20"/>
    <w:rsid w:val="006F749F"/>
    <w:rsid w:val="00765BF4"/>
    <w:rsid w:val="007C7384"/>
    <w:rsid w:val="007F5EEA"/>
    <w:rsid w:val="008438E0"/>
    <w:rsid w:val="00874EF0"/>
    <w:rsid w:val="00884E33"/>
    <w:rsid w:val="00895460"/>
    <w:rsid w:val="008B6D97"/>
    <w:rsid w:val="008C4EDA"/>
    <w:rsid w:val="00931457"/>
    <w:rsid w:val="00931692"/>
    <w:rsid w:val="0093764E"/>
    <w:rsid w:val="00940EA6"/>
    <w:rsid w:val="009425BE"/>
    <w:rsid w:val="00944A74"/>
    <w:rsid w:val="009A6FE1"/>
    <w:rsid w:val="009F164C"/>
    <w:rsid w:val="00A73478"/>
    <w:rsid w:val="00AB7CD0"/>
    <w:rsid w:val="00AE5842"/>
    <w:rsid w:val="00AF5013"/>
    <w:rsid w:val="00AF68C8"/>
    <w:rsid w:val="00B12050"/>
    <w:rsid w:val="00B77320"/>
    <w:rsid w:val="00BF393C"/>
    <w:rsid w:val="00C62AB8"/>
    <w:rsid w:val="00C644D7"/>
    <w:rsid w:val="00D13CC0"/>
    <w:rsid w:val="00E0224F"/>
    <w:rsid w:val="00E27C08"/>
    <w:rsid w:val="00F74BE0"/>
    <w:rsid w:val="00F827CD"/>
    <w:rsid w:val="00F83D2C"/>
    <w:rsid w:val="00FA7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E1AD"/>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B54"/>
    <w:pPr>
      <w:ind w:left="720"/>
      <w:contextualSpacing/>
    </w:pPr>
  </w:style>
  <w:style w:type="paragraph" w:styleId="Pieddepage">
    <w:name w:val="footer"/>
    <w:basedOn w:val="Normal"/>
    <w:link w:val="PieddepageCar"/>
    <w:uiPriority w:val="99"/>
    <w:unhideWhenUsed/>
    <w:rsid w:val="002266FC"/>
    <w:pPr>
      <w:tabs>
        <w:tab w:val="center" w:pos="4536"/>
        <w:tab w:val="right" w:pos="9072"/>
      </w:tabs>
    </w:pPr>
  </w:style>
  <w:style w:type="character" w:customStyle="1" w:styleId="PieddepageCar">
    <w:name w:val="Pied de page Car"/>
    <w:basedOn w:val="Policepardfaut"/>
    <w:link w:val="Pieddepage"/>
    <w:uiPriority w:val="99"/>
    <w:rsid w:val="002266FC"/>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2266FC"/>
  </w:style>
  <w:style w:type="paragraph" w:customStyle="1" w:styleId="ti-grseq-1">
    <w:name w:val="ti-grseq-1"/>
    <w:basedOn w:val="Normal"/>
    <w:rsid w:val="001B7D84"/>
    <w:pPr>
      <w:spacing w:before="100" w:beforeAutospacing="1" w:after="100" w:afterAutospacing="1"/>
    </w:pPr>
  </w:style>
  <w:style w:type="paragraph" w:customStyle="1" w:styleId="Normal1">
    <w:name w:val="Normal1"/>
    <w:basedOn w:val="Normal"/>
    <w:rsid w:val="001B7D84"/>
    <w:pPr>
      <w:spacing w:before="100" w:beforeAutospacing="1" w:after="100" w:afterAutospacing="1"/>
    </w:pPr>
  </w:style>
  <w:style w:type="character" w:styleId="Lienhypertexte">
    <w:name w:val="Hyperlink"/>
    <w:basedOn w:val="Policepardfaut"/>
    <w:uiPriority w:val="99"/>
    <w:semiHidden/>
    <w:unhideWhenUsed/>
    <w:rsid w:val="001B7D84"/>
    <w:rPr>
      <w:color w:val="0000FF"/>
      <w:u w:val="single"/>
    </w:rPr>
  </w:style>
  <w:style w:type="character" w:customStyle="1" w:styleId="super">
    <w:name w:val="super"/>
    <w:basedOn w:val="Policepardfaut"/>
    <w:rsid w:val="001B7D84"/>
  </w:style>
  <w:style w:type="paragraph" w:customStyle="1" w:styleId="note">
    <w:name w:val="note"/>
    <w:basedOn w:val="Normal"/>
    <w:rsid w:val="001B7D84"/>
    <w:pPr>
      <w:spacing w:before="100" w:beforeAutospacing="1" w:after="100" w:afterAutospacing="1"/>
    </w:pPr>
  </w:style>
  <w:style w:type="character" w:customStyle="1" w:styleId="apple-converted-space">
    <w:name w:val="apple-converted-space"/>
    <w:basedOn w:val="Policepardfaut"/>
    <w:rsid w:val="001B7D84"/>
  </w:style>
  <w:style w:type="character" w:customStyle="1" w:styleId="italic">
    <w:name w:val="italic"/>
    <w:basedOn w:val="Policepardfaut"/>
    <w:rsid w:val="001B7D84"/>
  </w:style>
  <w:style w:type="paragraph" w:styleId="En-tte">
    <w:name w:val="header"/>
    <w:basedOn w:val="Normal"/>
    <w:link w:val="En-tteCar"/>
    <w:uiPriority w:val="99"/>
    <w:unhideWhenUsed/>
    <w:rsid w:val="002D49CB"/>
    <w:pPr>
      <w:tabs>
        <w:tab w:val="center" w:pos="4536"/>
        <w:tab w:val="right" w:pos="9072"/>
      </w:tabs>
    </w:pPr>
  </w:style>
  <w:style w:type="character" w:customStyle="1" w:styleId="En-tteCar">
    <w:name w:val="En-tête Car"/>
    <w:basedOn w:val="Policepardfaut"/>
    <w:link w:val="En-tte"/>
    <w:uiPriority w:val="99"/>
    <w:rsid w:val="002D49C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1856">
      <w:bodyDiv w:val="1"/>
      <w:marLeft w:val="0"/>
      <w:marRight w:val="0"/>
      <w:marTop w:val="0"/>
      <w:marBottom w:val="0"/>
      <w:divBdr>
        <w:top w:val="none" w:sz="0" w:space="0" w:color="auto"/>
        <w:left w:val="none" w:sz="0" w:space="0" w:color="auto"/>
        <w:bottom w:val="none" w:sz="0" w:space="0" w:color="auto"/>
        <w:right w:val="none" w:sz="0" w:space="0" w:color="auto"/>
      </w:divBdr>
    </w:div>
    <w:div w:id="359865822">
      <w:bodyDiv w:val="1"/>
      <w:marLeft w:val="0"/>
      <w:marRight w:val="0"/>
      <w:marTop w:val="0"/>
      <w:marBottom w:val="0"/>
      <w:divBdr>
        <w:top w:val="none" w:sz="0" w:space="0" w:color="auto"/>
        <w:left w:val="none" w:sz="0" w:space="0" w:color="auto"/>
        <w:bottom w:val="none" w:sz="0" w:space="0" w:color="auto"/>
        <w:right w:val="none" w:sz="0" w:space="0" w:color="auto"/>
      </w:divBdr>
      <w:divsChild>
        <w:div w:id="274099437">
          <w:marLeft w:val="0"/>
          <w:marRight w:val="0"/>
          <w:marTop w:val="0"/>
          <w:marBottom w:val="0"/>
          <w:divBdr>
            <w:top w:val="none" w:sz="0" w:space="0" w:color="auto"/>
            <w:left w:val="none" w:sz="0" w:space="0" w:color="auto"/>
            <w:bottom w:val="none" w:sz="0" w:space="0" w:color="auto"/>
            <w:right w:val="none" w:sz="0" w:space="0" w:color="auto"/>
          </w:divBdr>
          <w:divsChild>
            <w:div w:id="2106462233">
              <w:marLeft w:val="0"/>
              <w:marRight w:val="0"/>
              <w:marTop w:val="0"/>
              <w:marBottom w:val="0"/>
              <w:divBdr>
                <w:top w:val="none" w:sz="0" w:space="0" w:color="auto"/>
                <w:left w:val="none" w:sz="0" w:space="0" w:color="auto"/>
                <w:bottom w:val="none" w:sz="0" w:space="0" w:color="auto"/>
                <w:right w:val="none" w:sz="0" w:space="0" w:color="auto"/>
              </w:divBdr>
              <w:divsChild>
                <w:div w:id="1015687364">
                  <w:marLeft w:val="0"/>
                  <w:marRight w:val="0"/>
                  <w:marTop w:val="0"/>
                  <w:marBottom w:val="0"/>
                  <w:divBdr>
                    <w:top w:val="none" w:sz="0" w:space="0" w:color="auto"/>
                    <w:left w:val="none" w:sz="0" w:space="0" w:color="auto"/>
                    <w:bottom w:val="none" w:sz="0" w:space="0" w:color="auto"/>
                    <w:right w:val="none" w:sz="0" w:space="0" w:color="auto"/>
                  </w:divBdr>
                </w:div>
              </w:divsChild>
            </w:div>
            <w:div w:id="1290550770">
              <w:marLeft w:val="0"/>
              <w:marRight w:val="0"/>
              <w:marTop w:val="0"/>
              <w:marBottom w:val="0"/>
              <w:divBdr>
                <w:top w:val="none" w:sz="0" w:space="0" w:color="auto"/>
                <w:left w:val="none" w:sz="0" w:space="0" w:color="auto"/>
                <w:bottom w:val="none" w:sz="0" w:space="0" w:color="auto"/>
                <w:right w:val="none" w:sz="0" w:space="0" w:color="auto"/>
              </w:divBdr>
              <w:divsChild>
                <w:div w:id="3240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4565">
          <w:marLeft w:val="0"/>
          <w:marRight w:val="0"/>
          <w:marTop w:val="0"/>
          <w:marBottom w:val="0"/>
          <w:divBdr>
            <w:top w:val="none" w:sz="0" w:space="0" w:color="auto"/>
            <w:left w:val="none" w:sz="0" w:space="0" w:color="auto"/>
            <w:bottom w:val="none" w:sz="0" w:space="0" w:color="auto"/>
            <w:right w:val="none" w:sz="0" w:space="0" w:color="auto"/>
          </w:divBdr>
          <w:divsChild>
            <w:div w:id="1030111311">
              <w:marLeft w:val="0"/>
              <w:marRight w:val="0"/>
              <w:marTop w:val="0"/>
              <w:marBottom w:val="0"/>
              <w:divBdr>
                <w:top w:val="none" w:sz="0" w:space="0" w:color="auto"/>
                <w:left w:val="none" w:sz="0" w:space="0" w:color="auto"/>
                <w:bottom w:val="none" w:sz="0" w:space="0" w:color="auto"/>
                <w:right w:val="none" w:sz="0" w:space="0" w:color="auto"/>
              </w:divBdr>
              <w:divsChild>
                <w:div w:id="1679576014">
                  <w:marLeft w:val="0"/>
                  <w:marRight w:val="0"/>
                  <w:marTop w:val="0"/>
                  <w:marBottom w:val="0"/>
                  <w:divBdr>
                    <w:top w:val="none" w:sz="0" w:space="0" w:color="auto"/>
                    <w:left w:val="none" w:sz="0" w:space="0" w:color="auto"/>
                    <w:bottom w:val="none" w:sz="0" w:space="0" w:color="auto"/>
                    <w:right w:val="none" w:sz="0" w:space="0" w:color="auto"/>
                  </w:divBdr>
                </w:div>
              </w:divsChild>
            </w:div>
            <w:div w:id="927421372">
              <w:marLeft w:val="0"/>
              <w:marRight w:val="0"/>
              <w:marTop w:val="0"/>
              <w:marBottom w:val="0"/>
              <w:divBdr>
                <w:top w:val="none" w:sz="0" w:space="0" w:color="auto"/>
                <w:left w:val="none" w:sz="0" w:space="0" w:color="auto"/>
                <w:bottom w:val="none" w:sz="0" w:space="0" w:color="auto"/>
                <w:right w:val="none" w:sz="0" w:space="0" w:color="auto"/>
              </w:divBdr>
              <w:divsChild>
                <w:div w:id="10982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5181">
          <w:marLeft w:val="0"/>
          <w:marRight w:val="0"/>
          <w:marTop w:val="0"/>
          <w:marBottom w:val="0"/>
          <w:divBdr>
            <w:top w:val="none" w:sz="0" w:space="0" w:color="auto"/>
            <w:left w:val="none" w:sz="0" w:space="0" w:color="auto"/>
            <w:bottom w:val="none" w:sz="0" w:space="0" w:color="auto"/>
            <w:right w:val="none" w:sz="0" w:space="0" w:color="auto"/>
          </w:divBdr>
          <w:divsChild>
            <w:div w:id="1687558176">
              <w:marLeft w:val="0"/>
              <w:marRight w:val="0"/>
              <w:marTop w:val="0"/>
              <w:marBottom w:val="0"/>
              <w:divBdr>
                <w:top w:val="none" w:sz="0" w:space="0" w:color="auto"/>
                <w:left w:val="none" w:sz="0" w:space="0" w:color="auto"/>
                <w:bottom w:val="none" w:sz="0" w:space="0" w:color="auto"/>
                <w:right w:val="none" w:sz="0" w:space="0" w:color="auto"/>
              </w:divBdr>
              <w:divsChild>
                <w:div w:id="532113945">
                  <w:marLeft w:val="0"/>
                  <w:marRight w:val="0"/>
                  <w:marTop w:val="0"/>
                  <w:marBottom w:val="0"/>
                  <w:divBdr>
                    <w:top w:val="none" w:sz="0" w:space="0" w:color="auto"/>
                    <w:left w:val="none" w:sz="0" w:space="0" w:color="auto"/>
                    <w:bottom w:val="none" w:sz="0" w:space="0" w:color="auto"/>
                    <w:right w:val="none" w:sz="0" w:space="0" w:color="auto"/>
                  </w:divBdr>
                </w:div>
              </w:divsChild>
            </w:div>
            <w:div w:id="310908272">
              <w:marLeft w:val="0"/>
              <w:marRight w:val="0"/>
              <w:marTop w:val="0"/>
              <w:marBottom w:val="0"/>
              <w:divBdr>
                <w:top w:val="none" w:sz="0" w:space="0" w:color="auto"/>
                <w:left w:val="none" w:sz="0" w:space="0" w:color="auto"/>
                <w:bottom w:val="none" w:sz="0" w:space="0" w:color="auto"/>
                <w:right w:val="none" w:sz="0" w:space="0" w:color="auto"/>
              </w:divBdr>
              <w:divsChild>
                <w:div w:id="4105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68148">
          <w:marLeft w:val="0"/>
          <w:marRight w:val="0"/>
          <w:marTop w:val="0"/>
          <w:marBottom w:val="0"/>
          <w:divBdr>
            <w:top w:val="none" w:sz="0" w:space="0" w:color="auto"/>
            <w:left w:val="none" w:sz="0" w:space="0" w:color="auto"/>
            <w:bottom w:val="none" w:sz="0" w:space="0" w:color="auto"/>
            <w:right w:val="none" w:sz="0" w:space="0" w:color="auto"/>
          </w:divBdr>
          <w:divsChild>
            <w:div w:id="1135835978">
              <w:marLeft w:val="0"/>
              <w:marRight w:val="0"/>
              <w:marTop w:val="0"/>
              <w:marBottom w:val="0"/>
              <w:divBdr>
                <w:top w:val="none" w:sz="0" w:space="0" w:color="auto"/>
                <w:left w:val="none" w:sz="0" w:space="0" w:color="auto"/>
                <w:bottom w:val="none" w:sz="0" w:space="0" w:color="auto"/>
                <w:right w:val="none" w:sz="0" w:space="0" w:color="auto"/>
              </w:divBdr>
              <w:divsChild>
                <w:div w:id="1250236479">
                  <w:marLeft w:val="0"/>
                  <w:marRight w:val="0"/>
                  <w:marTop w:val="0"/>
                  <w:marBottom w:val="0"/>
                  <w:divBdr>
                    <w:top w:val="none" w:sz="0" w:space="0" w:color="auto"/>
                    <w:left w:val="none" w:sz="0" w:space="0" w:color="auto"/>
                    <w:bottom w:val="none" w:sz="0" w:space="0" w:color="auto"/>
                    <w:right w:val="none" w:sz="0" w:space="0" w:color="auto"/>
                  </w:divBdr>
                </w:div>
              </w:divsChild>
            </w:div>
            <w:div w:id="1861431821">
              <w:marLeft w:val="0"/>
              <w:marRight w:val="0"/>
              <w:marTop w:val="0"/>
              <w:marBottom w:val="0"/>
              <w:divBdr>
                <w:top w:val="none" w:sz="0" w:space="0" w:color="auto"/>
                <w:left w:val="none" w:sz="0" w:space="0" w:color="auto"/>
                <w:bottom w:val="none" w:sz="0" w:space="0" w:color="auto"/>
                <w:right w:val="none" w:sz="0" w:space="0" w:color="auto"/>
              </w:divBdr>
              <w:divsChild>
                <w:div w:id="158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9894">
          <w:marLeft w:val="0"/>
          <w:marRight w:val="0"/>
          <w:marTop w:val="0"/>
          <w:marBottom w:val="0"/>
          <w:divBdr>
            <w:top w:val="none" w:sz="0" w:space="0" w:color="auto"/>
            <w:left w:val="none" w:sz="0" w:space="0" w:color="auto"/>
            <w:bottom w:val="none" w:sz="0" w:space="0" w:color="auto"/>
            <w:right w:val="none" w:sz="0" w:space="0" w:color="auto"/>
          </w:divBdr>
          <w:divsChild>
            <w:div w:id="1200819954">
              <w:marLeft w:val="0"/>
              <w:marRight w:val="0"/>
              <w:marTop w:val="0"/>
              <w:marBottom w:val="0"/>
              <w:divBdr>
                <w:top w:val="none" w:sz="0" w:space="0" w:color="auto"/>
                <w:left w:val="none" w:sz="0" w:space="0" w:color="auto"/>
                <w:bottom w:val="none" w:sz="0" w:space="0" w:color="auto"/>
                <w:right w:val="none" w:sz="0" w:space="0" w:color="auto"/>
              </w:divBdr>
              <w:divsChild>
                <w:div w:id="591664989">
                  <w:marLeft w:val="0"/>
                  <w:marRight w:val="0"/>
                  <w:marTop w:val="0"/>
                  <w:marBottom w:val="0"/>
                  <w:divBdr>
                    <w:top w:val="none" w:sz="0" w:space="0" w:color="auto"/>
                    <w:left w:val="none" w:sz="0" w:space="0" w:color="auto"/>
                    <w:bottom w:val="none" w:sz="0" w:space="0" w:color="auto"/>
                    <w:right w:val="none" w:sz="0" w:space="0" w:color="auto"/>
                  </w:divBdr>
                </w:div>
              </w:divsChild>
            </w:div>
            <w:div w:id="205340416">
              <w:marLeft w:val="0"/>
              <w:marRight w:val="0"/>
              <w:marTop w:val="0"/>
              <w:marBottom w:val="0"/>
              <w:divBdr>
                <w:top w:val="none" w:sz="0" w:space="0" w:color="auto"/>
                <w:left w:val="none" w:sz="0" w:space="0" w:color="auto"/>
                <w:bottom w:val="none" w:sz="0" w:space="0" w:color="auto"/>
                <w:right w:val="none" w:sz="0" w:space="0" w:color="auto"/>
              </w:divBdr>
              <w:divsChild>
                <w:div w:id="191842192">
                  <w:marLeft w:val="0"/>
                  <w:marRight w:val="0"/>
                  <w:marTop w:val="0"/>
                  <w:marBottom w:val="0"/>
                  <w:divBdr>
                    <w:top w:val="none" w:sz="0" w:space="0" w:color="auto"/>
                    <w:left w:val="none" w:sz="0" w:space="0" w:color="auto"/>
                    <w:bottom w:val="none" w:sz="0" w:space="0" w:color="auto"/>
                    <w:right w:val="none" w:sz="0" w:space="0" w:color="auto"/>
                  </w:divBdr>
                </w:div>
              </w:divsChild>
            </w:div>
            <w:div w:id="1384791816">
              <w:marLeft w:val="0"/>
              <w:marRight w:val="0"/>
              <w:marTop w:val="0"/>
              <w:marBottom w:val="0"/>
              <w:divBdr>
                <w:top w:val="none" w:sz="0" w:space="0" w:color="auto"/>
                <w:left w:val="none" w:sz="0" w:space="0" w:color="auto"/>
                <w:bottom w:val="none" w:sz="0" w:space="0" w:color="auto"/>
                <w:right w:val="none" w:sz="0" w:space="0" w:color="auto"/>
              </w:divBdr>
              <w:divsChild>
                <w:div w:id="1913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5937">
          <w:marLeft w:val="0"/>
          <w:marRight w:val="0"/>
          <w:marTop w:val="0"/>
          <w:marBottom w:val="0"/>
          <w:divBdr>
            <w:top w:val="none" w:sz="0" w:space="0" w:color="auto"/>
            <w:left w:val="none" w:sz="0" w:space="0" w:color="auto"/>
            <w:bottom w:val="none" w:sz="0" w:space="0" w:color="auto"/>
            <w:right w:val="none" w:sz="0" w:space="0" w:color="auto"/>
          </w:divBdr>
          <w:divsChild>
            <w:div w:id="1700738618">
              <w:marLeft w:val="0"/>
              <w:marRight w:val="0"/>
              <w:marTop w:val="0"/>
              <w:marBottom w:val="0"/>
              <w:divBdr>
                <w:top w:val="none" w:sz="0" w:space="0" w:color="auto"/>
                <w:left w:val="none" w:sz="0" w:space="0" w:color="auto"/>
                <w:bottom w:val="none" w:sz="0" w:space="0" w:color="auto"/>
                <w:right w:val="none" w:sz="0" w:space="0" w:color="auto"/>
              </w:divBdr>
              <w:divsChild>
                <w:div w:id="6821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5505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HTML/?uri=CELEX:52009XC0224(01)&amp;from=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FR/TXT/HTML/?uri=CELEX:52009XC0224(01)&amp;from=FR" TargetMode="External"/><Relationship Id="rId12" Type="http://schemas.openxmlformats.org/officeDocument/2006/relationships/hyperlink" Target="https://eur-lex.europa.eu/legal-content/FR/TXT/HTML/?uri=CELEX:52009XC0224(01)&amp;from=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FR/TXT/HTML/?uri=CELEX:52009XC0224(01)&amp;from=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lex.europa.eu/legal-content/FR/TXT/HTML/?uri=CELEX:52009XC0224(01)&amp;from=FR" TargetMode="External"/><Relationship Id="rId4" Type="http://schemas.openxmlformats.org/officeDocument/2006/relationships/webSettings" Target="webSettings.xml"/><Relationship Id="rId9" Type="http://schemas.openxmlformats.org/officeDocument/2006/relationships/hyperlink" Target="https://eur-lex.europa.eu/legal-content/FR/TXT/HTML/?uri=CELEX:52009XC0224(01)&amp;from=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1187</Words>
  <Characters>6533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4</cp:revision>
  <cp:lastPrinted>2022-04-15T16:47:00Z</cp:lastPrinted>
  <dcterms:created xsi:type="dcterms:W3CDTF">2022-04-15T17:05:00Z</dcterms:created>
  <dcterms:modified xsi:type="dcterms:W3CDTF">2022-12-14T15:32:00Z</dcterms:modified>
</cp:coreProperties>
</file>