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C0D62" w14:textId="77777777" w:rsidR="00952370" w:rsidRDefault="00952370" w:rsidP="00952370">
      <w:pPr>
        <w:widowControl w:val="0"/>
        <w:autoSpaceDE w:val="0"/>
        <w:autoSpaceDN w:val="0"/>
        <w:adjustRightInd w:val="0"/>
        <w:rPr>
          <w:sz w:val="3"/>
          <w:szCs w:val="3"/>
        </w:rPr>
      </w:pPr>
    </w:p>
    <w:p w14:paraId="77AA5C2D" w14:textId="77777777" w:rsidR="00952370" w:rsidRDefault="00952370" w:rsidP="000E5F7C">
      <w:pPr>
        <w:widowControl w:val="0"/>
        <w:tabs>
          <w:tab w:val="center" w:pos="4819"/>
          <w:tab w:val="right" w:pos="9582"/>
        </w:tabs>
        <w:autoSpaceDE w:val="0"/>
        <w:autoSpaceDN w:val="0"/>
        <w:adjustRightInd w:val="0"/>
        <w:spacing w:before="960"/>
        <w:rPr>
          <w:rFonts w:ascii="Arial" w:hAnsi="Arial" w:cs="Arial"/>
          <w:b/>
          <w:bCs/>
          <w:color w:val="000000"/>
        </w:rPr>
      </w:pPr>
      <w:r>
        <w:tab/>
      </w:r>
      <w:r>
        <w:rPr>
          <w:rFonts w:ascii="Arial" w:hAnsi="Arial" w:cs="Arial"/>
          <w:b/>
          <w:bCs/>
          <w:color w:val="008000"/>
          <w:u w:val="single"/>
        </w:rPr>
        <w:t>Université PARIS - PANTHÉON - ASSAS</w:t>
      </w:r>
      <w:r>
        <w:tab/>
      </w:r>
      <w:r>
        <w:rPr>
          <w:rFonts w:ascii="Arial" w:hAnsi="Arial" w:cs="Arial"/>
          <w:b/>
          <w:bCs/>
          <w:color w:val="000000"/>
        </w:rPr>
        <w:t>U.E.F. 1</w:t>
      </w:r>
    </w:p>
    <w:p w14:paraId="5D9F1E56" w14:textId="77777777" w:rsidR="00952370" w:rsidRDefault="00952370" w:rsidP="00952370">
      <w:pPr>
        <w:widowControl w:val="0"/>
        <w:autoSpaceDE w:val="0"/>
        <w:autoSpaceDN w:val="0"/>
        <w:adjustRightInd w:val="0"/>
        <w:rPr>
          <w:rFonts w:ascii="Arial" w:hAnsi="Arial" w:cs="Arial"/>
          <w:b/>
          <w:bCs/>
          <w:color w:val="000000"/>
          <w:sz w:val="20"/>
          <w:szCs w:val="20"/>
        </w:rPr>
      </w:pPr>
    </w:p>
    <w:p w14:paraId="3C5BA9FA" w14:textId="77777777" w:rsidR="00952370" w:rsidRDefault="00952370" w:rsidP="00952370">
      <w:pPr>
        <w:widowControl w:val="0"/>
        <w:autoSpaceDE w:val="0"/>
        <w:autoSpaceDN w:val="0"/>
        <w:adjustRightInd w:val="0"/>
        <w:rPr>
          <w:rFonts w:ascii="Arial" w:hAnsi="Arial" w:cs="Arial"/>
          <w:b/>
          <w:bCs/>
          <w:color w:val="000000"/>
          <w:sz w:val="8"/>
          <w:szCs w:val="8"/>
        </w:rPr>
      </w:pPr>
    </w:p>
    <w:p w14:paraId="2394A268" w14:textId="77777777" w:rsidR="00952370" w:rsidRDefault="00952370" w:rsidP="00952370">
      <w:pPr>
        <w:widowControl w:val="0"/>
        <w:tabs>
          <w:tab w:val="center" w:pos="4821"/>
          <w:tab w:val="right" w:pos="9582"/>
        </w:tabs>
        <w:autoSpaceDE w:val="0"/>
        <w:autoSpaceDN w:val="0"/>
        <w:adjustRightInd w:val="0"/>
      </w:pPr>
      <w:r>
        <w:tab/>
      </w:r>
      <w:r>
        <w:rPr>
          <w:rFonts w:ascii="Arial" w:hAnsi="Arial" w:cs="Arial"/>
          <w:b/>
          <w:bCs/>
          <w:color w:val="800000"/>
          <w:u w:val="single"/>
        </w:rPr>
        <w:t>Droit - Economie - Sciences Sociales</w:t>
      </w:r>
      <w:r>
        <w:tab/>
      </w:r>
    </w:p>
    <w:p w14:paraId="1827274E" w14:textId="77777777" w:rsidR="00952370" w:rsidRDefault="00952370" w:rsidP="00952370">
      <w:pPr>
        <w:widowControl w:val="0"/>
        <w:tabs>
          <w:tab w:val="center" w:pos="4821"/>
          <w:tab w:val="right" w:pos="9582"/>
        </w:tabs>
        <w:autoSpaceDE w:val="0"/>
        <w:autoSpaceDN w:val="0"/>
        <w:adjustRightInd w:val="0"/>
      </w:pPr>
    </w:p>
    <w:p w14:paraId="311BA5AB" w14:textId="2335BA41" w:rsidR="00952370" w:rsidRPr="00075107" w:rsidRDefault="00952370" w:rsidP="00952370">
      <w:pPr>
        <w:widowControl w:val="0"/>
        <w:tabs>
          <w:tab w:val="center" w:pos="4821"/>
          <w:tab w:val="right" w:pos="9582"/>
        </w:tabs>
        <w:autoSpaceDE w:val="0"/>
        <w:autoSpaceDN w:val="0"/>
        <w:adjustRightInd w:val="0"/>
        <w:jc w:val="right"/>
        <w:rPr>
          <w:rFonts w:ascii="Arial" w:hAnsi="Arial" w:cs="Arial"/>
          <w:b/>
          <w:bCs/>
          <w:color w:val="000000"/>
        </w:rPr>
      </w:pPr>
      <w:r w:rsidRPr="00075107">
        <w:rPr>
          <w:b/>
          <w:bCs/>
          <w:color w:val="000000"/>
        </w:rPr>
        <w:t>M1</w:t>
      </w:r>
      <w:r>
        <w:rPr>
          <w:b/>
          <w:bCs/>
          <w:color w:val="000000"/>
        </w:rPr>
        <w:t>1244</w:t>
      </w:r>
      <w:r w:rsidRPr="00075107">
        <w:rPr>
          <w:b/>
          <w:bCs/>
          <w:color w:val="000000"/>
        </w:rPr>
        <w:t>AC</w:t>
      </w:r>
    </w:p>
    <w:p w14:paraId="0CAF4BCB" w14:textId="77777777" w:rsidR="00952370" w:rsidRDefault="00952370" w:rsidP="00952370">
      <w:pPr>
        <w:widowControl w:val="0"/>
        <w:autoSpaceDE w:val="0"/>
        <w:autoSpaceDN w:val="0"/>
        <w:adjustRightInd w:val="0"/>
        <w:rPr>
          <w:rFonts w:ascii="Arial" w:hAnsi="Arial" w:cs="Arial"/>
          <w:b/>
          <w:bCs/>
          <w:color w:val="000000"/>
          <w:sz w:val="20"/>
          <w:szCs w:val="20"/>
        </w:rPr>
      </w:pPr>
    </w:p>
    <w:p w14:paraId="3BFB66D7" w14:textId="77777777" w:rsidR="00952370" w:rsidRDefault="00952370" w:rsidP="00952370">
      <w:pPr>
        <w:widowControl w:val="0"/>
        <w:autoSpaceDE w:val="0"/>
        <w:autoSpaceDN w:val="0"/>
        <w:adjustRightInd w:val="0"/>
        <w:rPr>
          <w:rFonts w:ascii="Arial" w:hAnsi="Arial" w:cs="Arial"/>
          <w:b/>
          <w:bCs/>
          <w:color w:val="000000"/>
          <w:sz w:val="15"/>
          <w:szCs w:val="15"/>
        </w:rPr>
      </w:pPr>
    </w:p>
    <w:p w14:paraId="36A51382" w14:textId="77777777" w:rsidR="00952370" w:rsidRPr="00075107" w:rsidRDefault="00952370" w:rsidP="00952370">
      <w:pPr>
        <w:widowControl w:val="0"/>
        <w:tabs>
          <w:tab w:val="left" w:pos="62"/>
        </w:tabs>
        <w:autoSpaceDE w:val="0"/>
        <w:autoSpaceDN w:val="0"/>
        <w:adjustRightInd w:val="0"/>
        <w:rPr>
          <w:rFonts w:ascii="Arial" w:hAnsi="Arial" w:cs="Arial"/>
          <w:b/>
          <w:bCs/>
          <w:color w:val="000000"/>
        </w:rPr>
      </w:pPr>
      <w:r w:rsidRPr="00075107">
        <w:rPr>
          <w:b/>
          <w:bCs/>
        </w:rPr>
        <w:tab/>
      </w:r>
      <w:r w:rsidRPr="00075107">
        <w:rPr>
          <w:rFonts w:ascii="Arial" w:hAnsi="Arial" w:cs="Arial"/>
          <w:b/>
          <w:bCs/>
          <w:color w:val="000000"/>
        </w:rPr>
        <w:t>Paris</w:t>
      </w:r>
    </w:p>
    <w:p w14:paraId="75EA2E0D" w14:textId="77777777" w:rsidR="00952370" w:rsidRPr="00075107" w:rsidRDefault="00952370" w:rsidP="00952370">
      <w:pPr>
        <w:widowControl w:val="0"/>
        <w:autoSpaceDE w:val="0"/>
        <w:autoSpaceDN w:val="0"/>
        <w:adjustRightInd w:val="0"/>
        <w:rPr>
          <w:rFonts w:ascii="Arial" w:hAnsi="Arial" w:cs="Arial"/>
          <w:b/>
          <w:bCs/>
          <w:color w:val="000000"/>
          <w:sz w:val="20"/>
          <w:szCs w:val="20"/>
        </w:rPr>
      </w:pPr>
    </w:p>
    <w:p w14:paraId="33F5A208" w14:textId="77777777" w:rsidR="00952370" w:rsidRPr="00075107" w:rsidRDefault="00952370" w:rsidP="00952370">
      <w:pPr>
        <w:widowControl w:val="0"/>
        <w:autoSpaceDE w:val="0"/>
        <w:autoSpaceDN w:val="0"/>
        <w:adjustRightInd w:val="0"/>
        <w:rPr>
          <w:rFonts w:ascii="Arial" w:hAnsi="Arial" w:cs="Arial"/>
          <w:b/>
          <w:bCs/>
          <w:color w:val="000000"/>
          <w:sz w:val="20"/>
          <w:szCs w:val="20"/>
        </w:rPr>
      </w:pPr>
    </w:p>
    <w:p w14:paraId="7155E9BD" w14:textId="77777777" w:rsidR="00952370" w:rsidRPr="00075107" w:rsidRDefault="00952370" w:rsidP="00952370">
      <w:pPr>
        <w:widowControl w:val="0"/>
        <w:autoSpaceDE w:val="0"/>
        <w:autoSpaceDN w:val="0"/>
        <w:adjustRightInd w:val="0"/>
        <w:rPr>
          <w:rFonts w:ascii="Arial" w:hAnsi="Arial" w:cs="Arial"/>
          <w:b/>
          <w:bCs/>
          <w:color w:val="000000"/>
          <w:sz w:val="6"/>
          <w:szCs w:val="6"/>
        </w:rPr>
      </w:pPr>
    </w:p>
    <w:p w14:paraId="07F4F9E4" w14:textId="77777777" w:rsidR="00952370" w:rsidRPr="00075107" w:rsidRDefault="00952370" w:rsidP="00952370">
      <w:pPr>
        <w:widowControl w:val="0"/>
        <w:tabs>
          <w:tab w:val="left" w:pos="56"/>
          <w:tab w:val="left" w:pos="2688"/>
        </w:tabs>
        <w:autoSpaceDE w:val="0"/>
        <w:autoSpaceDN w:val="0"/>
        <w:adjustRightInd w:val="0"/>
        <w:rPr>
          <w:rFonts w:ascii="Arial" w:hAnsi="Arial" w:cs="Arial"/>
          <w:b/>
          <w:bCs/>
          <w:color w:val="000000"/>
        </w:rPr>
      </w:pPr>
      <w:r w:rsidRPr="00075107">
        <w:rPr>
          <w:b/>
          <w:bCs/>
        </w:rPr>
        <w:tab/>
      </w:r>
      <w:r w:rsidRPr="00075107">
        <w:rPr>
          <w:rFonts w:ascii="Arial" w:hAnsi="Arial" w:cs="Arial"/>
          <w:b/>
          <w:bCs/>
          <w:color w:val="000000"/>
        </w:rPr>
        <w:t xml:space="preserve">Session : </w:t>
      </w:r>
      <w:r w:rsidRPr="00075107">
        <w:rPr>
          <w:b/>
          <w:bCs/>
        </w:rPr>
        <w:tab/>
      </w:r>
      <w:r w:rsidRPr="00075107">
        <w:rPr>
          <w:rFonts w:ascii="Arial" w:hAnsi="Arial" w:cs="Arial"/>
          <w:b/>
          <w:bCs/>
          <w:color w:val="000000"/>
        </w:rPr>
        <w:t>JANVIER 2023 – 1</w:t>
      </w:r>
      <w:r w:rsidRPr="00075107">
        <w:rPr>
          <w:rFonts w:ascii="Arial" w:hAnsi="Arial" w:cs="Arial"/>
          <w:b/>
          <w:bCs/>
          <w:color w:val="000000"/>
          <w:vertAlign w:val="superscript"/>
        </w:rPr>
        <w:t>er</w:t>
      </w:r>
      <w:r w:rsidRPr="00075107">
        <w:rPr>
          <w:rFonts w:ascii="Arial" w:hAnsi="Arial" w:cs="Arial"/>
          <w:b/>
          <w:bCs/>
          <w:color w:val="000000"/>
        </w:rPr>
        <w:t xml:space="preserve"> semestre</w:t>
      </w:r>
    </w:p>
    <w:p w14:paraId="5C23479D" w14:textId="77777777" w:rsidR="00952370" w:rsidRDefault="00952370" w:rsidP="00952370">
      <w:pPr>
        <w:widowControl w:val="0"/>
        <w:autoSpaceDE w:val="0"/>
        <w:autoSpaceDN w:val="0"/>
        <w:adjustRightInd w:val="0"/>
        <w:rPr>
          <w:rFonts w:ascii="Arial" w:hAnsi="Arial" w:cs="Arial"/>
          <w:color w:val="000000"/>
          <w:sz w:val="20"/>
          <w:szCs w:val="20"/>
        </w:rPr>
      </w:pPr>
    </w:p>
    <w:p w14:paraId="507F3D2F" w14:textId="77777777" w:rsidR="00952370" w:rsidRDefault="00952370" w:rsidP="00952370">
      <w:pPr>
        <w:widowControl w:val="0"/>
        <w:autoSpaceDE w:val="0"/>
        <w:autoSpaceDN w:val="0"/>
        <w:adjustRightInd w:val="0"/>
        <w:rPr>
          <w:rFonts w:ascii="Arial" w:hAnsi="Arial" w:cs="Arial"/>
          <w:color w:val="000000"/>
          <w:sz w:val="20"/>
          <w:szCs w:val="20"/>
        </w:rPr>
      </w:pPr>
    </w:p>
    <w:p w14:paraId="3C5B042C" w14:textId="77777777" w:rsidR="00952370" w:rsidRDefault="00952370" w:rsidP="00952370">
      <w:pPr>
        <w:widowControl w:val="0"/>
        <w:autoSpaceDE w:val="0"/>
        <w:autoSpaceDN w:val="0"/>
        <w:adjustRightInd w:val="0"/>
        <w:rPr>
          <w:rFonts w:ascii="Arial" w:hAnsi="Arial" w:cs="Arial"/>
          <w:color w:val="000000"/>
          <w:sz w:val="10"/>
          <w:szCs w:val="10"/>
        </w:rPr>
      </w:pPr>
    </w:p>
    <w:p w14:paraId="0ABBEC7F" w14:textId="77777777" w:rsidR="00952370" w:rsidRPr="00075107" w:rsidRDefault="00952370" w:rsidP="00952370">
      <w:pPr>
        <w:widowControl w:val="0"/>
        <w:tabs>
          <w:tab w:val="left" w:pos="56"/>
          <w:tab w:val="left" w:pos="2688"/>
        </w:tabs>
        <w:autoSpaceDE w:val="0"/>
        <w:autoSpaceDN w:val="0"/>
        <w:adjustRightInd w:val="0"/>
        <w:rPr>
          <w:rFonts w:ascii="Arial" w:hAnsi="Arial" w:cs="Arial"/>
          <w:b/>
          <w:bCs/>
          <w:color w:val="000000"/>
        </w:rPr>
      </w:pPr>
      <w:r>
        <w:tab/>
      </w:r>
      <w:r>
        <w:rPr>
          <w:rFonts w:ascii="Arial" w:hAnsi="Arial" w:cs="Arial"/>
          <w:b/>
          <w:bCs/>
          <w:color w:val="000000"/>
        </w:rPr>
        <w:t xml:space="preserve">Année d'étude : </w:t>
      </w:r>
      <w:r>
        <w:tab/>
      </w:r>
      <w:r w:rsidRPr="00075107">
        <w:rPr>
          <w:b/>
          <w:bCs/>
        </w:rPr>
        <w:t>M1</w:t>
      </w:r>
    </w:p>
    <w:p w14:paraId="666C75D0" w14:textId="77777777" w:rsidR="00952370" w:rsidRPr="00075107" w:rsidRDefault="00952370" w:rsidP="00952370">
      <w:pPr>
        <w:widowControl w:val="0"/>
        <w:autoSpaceDE w:val="0"/>
        <w:autoSpaceDN w:val="0"/>
        <w:adjustRightInd w:val="0"/>
        <w:rPr>
          <w:rFonts w:ascii="Arial" w:hAnsi="Arial" w:cs="Arial"/>
          <w:b/>
          <w:bCs/>
          <w:color w:val="000000"/>
          <w:sz w:val="20"/>
          <w:szCs w:val="20"/>
        </w:rPr>
      </w:pPr>
    </w:p>
    <w:p w14:paraId="69F096CF" w14:textId="77777777" w:rsidR="00952370" w:rsidRPr="00075107" w:rsidRDefault="00952370" w:rsidP="00952370">
      <w:pPr>
        <w:widowControl w:val="0"/>
        <w:autoSpaceDE w:val="0"/>
        <w:autoSpaceDN w:val="0"/>
        <w:adjustRightInd w:val="0"/>
        <w:rPr>
          <w:rFonts w:ascii="Arial" w:hAnsi="Arial" w:cs="Arial"/>
          <w:b/>
          <w:bCs/>
          <w:color w:val="000000"/>
          <w:sz w:val="20"/>
          <w:szCs w:val="20"/>
        </w:rPr>
      </w:pPr>
    </w:p>
    <w:p w14:paraId="4DD672C4" w14:textId="77777777" w:rsidR="00952370" w:rsidRPr="00075107" w:rsidRDefault="00952370" w:rsidP="00952370">
      <w:pPr>
        <w:widowControl w:val="0"/>
        <w:autoSpaceDE w:val="0"/>
        <w:autoSpaceDN w:val="0"/>
        <w:adjustRightInd w:val="0"/>
        <w:rPr>
          <w:rFonts w:ascii="Arial" w:hAnsi="Arial" w:cs="Arial"/>
          <w:b/>
          <w:bCs/>
          <w:color w:val="000000"/>
          <w:sz w:val="12"/>
          <w:szCs w:val="12"/>
        </w:rPr>
      </w:pPr>
    </w:p>
    <w:p w14:paraId="3E0DF005" w14:textId="3B574C33" w:rsidR="00952370" w:rsidRPr="00075107" w:rsidRDefault="00952370" w:rsidP="00952370">
      <w:pPr>
        <w:widowControl w:val="0"/>
        <w:tabs>
          <w:tab w:val="left" w:pos="56"/>
          <w:tab w:val="left" w:pos="2688"/>
        </w:tabs>
        <w:autoSpaceDE w:val="0"/>
        <w:autoSpaceDN w:val="0"/>
        <w:adjustRightInd w:val="0"/>
        <w:rPr>
          <w:b/>
          <w:bCs/>
          <w:i/>
          <w:iCs/>
          <w:color w:val="000000"/>
          <w:sz w:val="8"/>
          <w:szCs w:val="8"/>
        </w:rPr>
      </w:pPr>
      <w:r w:rsidRPr="00075107">
        <w:rPr>
          <w:b/>
          <w:bCs/>
        </w:rPr>
        <w:tab/>
      </w:r>
      <w:r w:rsidRPr="00075107">
        <w:rPr>
          <w:rFonts w:ascii="Arial" w:hAnsi="Arial" w:cs="Arial"/>
          <w:b/>
          <w:bCs/>
          <w:color w:val="000000"/>
        </w:rPr>
        <w:t xml:space="preserve">Discipline : </w:t>
      </w:r>
      <w:r w:rsidRPr="00075107">
        <w:rPr>
          <w:b/>
          <w:bCs/>
        </w:rPr>
        <w:tab/>
      </w:r>
      <w:r w:rsidRPr="00952370">
        <w:rPr>
          <w:b/>
          <w:bCs/>
        </w:rPr>
        <w:t>Droit public de l'économie 1</w:t>
      </w:r>
    </w:p>
    <w:p w14:paraId="37BDB799" w14:textId="77777777" w:rsidR="00952370" w:rsidRPr="00075107" w:rsidRDefault="00952370" w:rsidP="00952370">
      <w:pPr>
        <w:widowControl w:val="0"/>
        <w:tabs>
          <w:tab w:val="left" w:pos="2688"/>
        </w:tabs>
        <w:autoSpaceDE w:val="0"/>
        <w:autoSpaceDN w:val="0"/>
        <w:adjustRightInd w:val="0"/>
        <w:rPr>
          <w:rFonts w:ascii="Arial" w:hAnsi="Arial" w:cs="Arial"/>
          <w:b/>
          <w:bCs/>
          <w:color w:val="000000"/>
          <w:sz w:val="20"/>
          <w:szCs w:val="20"/>
        </w:rPr>
      </w:pPr>
      <w:r w:rsidRPr="00075107">
        <w:rPr>
          <w:b/>
          <w:bCs/>
          <w:sz w:val="20"/>
          <w:szCs w:val="20"/>
        </w:rPr>
        <w:tab/>
        <w:t>(Unités d’Enseignements Fondamentaux 1)</w:t>
      </w:r>
    </w:p>
    <w:p w14:paraId="043942E0" w14:textId="77777777" w:rsidR="00952370" w:rsidRPr="00075107" w:rsidRDefault="00952370" w:rsidP="00952370">
      <w:pPr>
        <w:widowControl w:val="0"/>
        <w:tabs>
          <w:tab w:val="left" w:pos="2688"/>
        </w:tabs>
        <w:autoSpaceDE w:val="0"/>
        <w:autoSpaceDN w:val="0"/>
        <w:adjustRightInd w:val="0"/>
        <w:rPr>
          <w:rFonts w:ascii="Arial" w:hAnsi="Arial" w:cs="Arial"/>
          <w:b/>
          <w:bCs/>
          <w:color w:val="000000"/>
          <w:sz w:val="16"/>
          <w:szCs w:val="16"/>
        </w:rPr>
      </w:pPr>
    </w:p>
    <w:p w14:paraId="23C73A22" w14:textId="77777777" w:rsidR="00952370" w:rsidRDefault="00952370" w:rsidP="00952370">
      <w:pPr>
        <w:widowControl w:val="0"/>
        <w:autoSpaceDE w:val="0"/>
        <w:autoSpaceDN w:val="0"/>
        <w:adjustRightInd w:val="0"/>
        <w:rPr>
          <w:rFonts w:ascii="Arial" w:hAnsi="Arial" w:cs="Arial"/>
          <w:color w:val="000000"/>
          <w:sz w:val="20"/>
          <w:szCs w:val="20"/>
        </w:rPr>
      </w:pPr>
    </w:p>
    <w:p w14:paraId="2D0DEB04" w14:textId="77777777" w:rsidR="00952370" w:rsidRDefault="00952370" w:rsidP="00952370">
      <w:pPr>
        <w:widowControl w:val="0"/>
        <w:autoSpaceDE w:val="0"/>
        <w:autoSpaceDN w:val="0"/>
        <w:adjustRightInd w:val="0"/>
        <w:rPr>
          <w:rFonts w:ascii="Arial" w:hAnsi="Arial" w:cs="Arial"/>
          <w:color w:val="000000"/>
          <w:sz w:val="15"/>
          <w:szCs w:val="15"/>
        </w:rPr>
      </w:pPr>
    </w:p>
    <w:p w14:paraId="09FDC8EE" w14:textId="61FE8111" w:rsidR="00952370" w:rsidRDefault="00952370" w:rsidP="00952370">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Pr>
          <w:rFonts w:ascii="Arial" w:hAnsi="Arial" w:cs="Arial"/>
          <w:b/>
          <w:bCs/>
          <w:color w:val="000000"/>
        </w:rPr>
        <w:tab/>
        <w:t>François BLANC</w:t>
      </w:r>
    </w:p>
    <w:p w14:paraId="68120915" w14:textId="77777777" w:rsidR="00952370" w:rsidRDefault="00952370" w:rsidP="00952370">
      <w:pPr>
        <w:widowControl w:val="0"/>
        <w:autoSpaceDE w:val="0"/>
        <w:autoSpaceDN w:val="0"/>
        <w:adjustRightInd w:val="0"/>
        <w:rPr>
          <w:rFonts w:ascii="Arial" w:hAnsi="Arial" w:cs="Arial"/>
          <w:b/>
          <w:bCs/>
          <w:color w:val="000000"/>
          <w:sz w:val="10"/>
          <w:szCs w:val="10"/>
        </w:rPr>
      </w:pPr>
    </w:p>
    <w:p w14:paraId="16F3546E" w14:textId="77777777" w:rsidR="00952370" w:rsidRDefault="00952370" w:rsidP="00952370">
      <w:pPr>
        <w:widowControl w:val="0"/>
        <w:tabs>
          <w:tab w:val="left" w:pos="2509"/>
        </w:tabs>
        <w:autoSpaceDE w:val="0"/>
        <w:autoSpaceDN w:val="0"/>
        <w:adjustRightInd w:val="0"/>
        <w:rPr>
          <w:rFonts w:ascii="Arial" w:hAnsi="Arial" w:cs="Arial"/>
          <w:color w:val="000000"/>
        </w:rPr>
      </w:pPr>
      <w:r>
        <w:tab/>
      </w:r>
    </w:p>
    <w:p w14:paraId="0FFAC5B9" w14:textId="77777777" w:rsidR="00952370" w:rsidRDefault="00952370" w:rsidP="00952370">
      <w:pPr>
        <w:widowControl w:val="0"/>
        <w:autoSpaceDE w:val="0"/>
        <w:autoSpaceDN w:val="0"/>
        <w:adjustRightInd w:val="0"/>
        <w:rPr>
          <w:rFonts w:ascii="Arial" w:hAnsi="Arial" w:cs="Arial"/>
          <w:color w:val="000000"/>
          <w:sz w:val="20"/>
          <w:szCs w:val="20"/>
        </w:rPr>
      </w:pPr>
    </w:p>
    <w:p w14:paraId="228001CE" w14:textId="77777777" w:rsidR="00952370" w:rsidRDefault="00952370" w:rsidP="00952370">
      <w:pPr>
        <w:widowControl w:val="0"/>
        <w:tabs>
          <w:tab w:val="left" w:pos="56"/>
          <w:tab w:val="left" w:pos="2694"/>
        </w:tabs>
        <w:autoSpaceDE w:val="0"/>
        <w:autoSpaceDN w:val="0"/>
        <w:adjustRightInd w:val="0"/>
        <w:rPr>
          <w:rFonts w:ascii="Arial" w:hAnsi="Arial" w:cs="Arial"/>
          <w:b/>
        </w:rPr>
      </w:pPr>
      <w:r>
        <w:rPr>
          <w:rFonts w:ascii="Arial" w:hAnsi="Arial" w:cs="Arial"/>
          <w:b/>
        </w:rPr>
        <w:t xml:space="preserve">Durée de l’épreuve : </w:t>
      </w:r>
      <w:r>
        <w:rPr>
          <w:rFonts w:ascii="Arial" w:hAnsi="Arial" w:cs="Arial"/>
          <w:b/>
        </w:rPr>
        <w:tab/>
        <w:t>3 h.</w:t>
      </w:r>
    </w:p>
    <w:p w14:paraId="23D20D23" w14:textId="77777777" w:rsidR="00952370" w:rsidRDefault="00952370" w:rsidP="00952370">
      <w:pPr>
        <w:widowControl w:val="0"/>
        <w:tabs>
          <w:tab w:val="left" w:pos="56"/>
        </w:tabs>
        <w:autoSpaceDE w:val="0"/>
        <w:autoSpaceDN w:val="0"/>
        <w:adjustRightInd w:val="0"/>
      </w:pPr>
    </w:p>
    <w:p w14:paraId="4C4EAE43" w14:textId="77777777" w:rsidR="00952370" w:rsidRDefault="00952370" w:rsidP="00952370">
      <w:pPr>
        <w:widowControl w:val="0"/>
        <w:tabs>
          <w:tab w:val="left" w:pos="56"/>
        </w:tabs>
        <w:autoSpaceDE w:val="0"/>
        <w:autoSpaceDN w:val="0"/>
        <w:adjustRightInd w:val="0"/>
      </w:pPr>
    </w:p>
    <w:p w14:paraId="0180232D" w14:textId="3C8B5A8D" w:rsidR="00952370" w:rsidRDefault="00952370" w:rsidP="00952370">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Document(s) autorisé(s) : aucun</w:t>
      </w:r>
    </w:p>
    <w:p w14:paraId="2BD218DD" w14:textId="77777777" w:rsidR="00952370" w:rsidRDefault="00952370" w:rsidP="00952370"/>
    <w:p w14:paraId="3610B3DF" w14:textId="5E0B9BAC" w:rsidR="00952370" w:rsidRDefault="00952370" w:rsidP="00952370"/>
    <w:p w14:paraId="7E6002CD" w14:textId="1BCC0CED" w:rsidR="000E5F7C" w:rsidRDefault="000E5F7C" w:rsidP="00952370"/>
    <w:p w14:paraId="7E18AE3F" w14:textId="77777777" w:rsidR="000E5F7C" w:rsidRDefault="000E5F7C" w:rsidP="00952370"/>
    <w:p w14:paraId="39D15255" w14:textId="46A9F96D" w:rsidR="00952370" w:rsidRDefault="00952370" w:rsidP="00952370">
      <w:pPr>
        <w:jc w:val="center"/>
        <w:rPr>
          <w:rFonts w:ascii="Arial" w:hAnsi="Arial" w:cs="Arial"/>
          <w:i/>
          <w:sz w:val="22"/>
          <w:szCs w:val="22"/>
        </w:rPr>
      </w:pPr>
      <w:r>
        <w:rPr>
          <w:rFonts w:ascii="Arial" w:hAnsi="Arial" w:cs="Arial"/>
          <w:i/>
          <w:sz w:val="22"/>
          <w:szCs w:val="22"/>
        </w:rPr>
        <w:t xml:space="preserve">Ce sujet comporte </w:t>
      </w:r>
      <w:r w:rsidR="00C65127">
        <w:rPr>
          <w:rFonts w:ascii="Arial" w:hAnsi="Arial" w:cs="Arial"/>
          <w:i/>
          <w:sz w:val="22"/>
          <w:szCs w:val="22"/>
        </w:rPr>
        <w:t>2</w:t>
      </w:r>
      <w:r>
        <w:rPr>
          <w:rFonts w:ascii="Arial" w:hAnsi="Arial" w:cs="Arial"/>
          <w:i/>
          <w:sz w:val="22"/>
          <w:szCs w:val="22"/>
        </w:rPr>
        <w:t xml:space="preserve"> pages. Avant de composer, veuillez vérifier que votre sujet est complet.</w:t>
      </w:r>
    </w:p>
    <w:p w14:paraId="2E5060A5" w14:textId="77777777" w:rsidR="00952370" w:rsidRDefault="00952370" w:rsidP="00952370">
      <w:pPr>
        <w:jc w:val="center"/>
        <w:rPr>
          <w:i/>
          <w:sz w:val="22"/>
          <w:szCs w:val="22"/>
        </w:rPr>
      </w:pPr>
    </w:p>
    <w:p w14:paraId="5C9864A5" w14:textId="385F402D" w:rsidR="000E5F7C" w:rsidRDefault="002C3474" w:rsidP="002C3474">
      <w:pPr>
        <w:jc w:val="center"/>
      </w:pPr>
      <w:r>
        <w:t>***</w:t>
      </w:r>
    </w:p>
    <w:p w14:paraId="63699536" w14:textId="77777777" w:rsidR="00EA64E0" w:rsidRDefault="00EA64E0"/>
    <w:p w14:paraId="6BE9DA30" w14:textId="70CC9EB7" w:rsidR="00EA64E0" w:rsidRDefault="00EA64E0" w:rsidP="00EA64E0">
      <w:pPr>
        <w:pBdr>
          <w:bottom w:val="single" w:sz="4" w:space="1" w:color="auto"/>
        </w:pBdr>
      </w:pPr>
      <w:r>
        <w:t>Vous traiterez AU CHOIX l’un des deux sujets suivants :</w:t>
      </w:r>
    </w:p>
    <w:p w14:paraId="74F1C1D2" w14:textId="3CB415A6" w:rsidR="00EA64E0" w:rsidRDefault="00EA64E0"/>
    <w:p w14:paraId="0AA0E05D" w14:textId="60D625E5" w:rsidR="00EA64E0" w:rsidRPr="009000D5" w:rsidRDefault="00EA64E0" w:rsidP="00EA64E0">
      <w:pPr>
        <w:pStyle w:val="Textebrut"/>
        <w:rPr>
          <w:b/>
          <w:sz w:val="24"/>
          <w:szCs w:val="24"/>
        </w:rPr>
      </w:pPr>
      <w:r w:rsidRPr="009000D5">
        <w:rPr>
          <w:b/>
          <w:sz w:val="24"/>
          <w:szCs w:val="24"/>
        </w:rPr>
        <w:t>SUJET 1 Dissertation :</w:t>
      </w:r>
    </w:p>
    <w:p w14:paraId="58CBF540" w14:textId="77777777" w:rsidR="00EA64E0" w:rsidRDefault="00EA64E0" w:rsidP="00EA64E0">
      <w:pPr>
        <w:pStyle w:val="Textebrut"/>
      </w:pPr>
    </w:p>
    <w:p w14:paraId="238C6B33" w14:textId="77777777" w:rsidR="00EA64E0" w:rsidRPr="009000D5" w:rsidRDefault="00EA64E0" w:rsidP="00EA64E0">
      <w:pPr>
        <w:pStyle w:val="Textebrut"/>
        <w:rPr>
          <w:sz w:val="24"/>
          <w:szCs w:val="24"/>
        </w:rPr>
      </w:pPr>
      <w:r w:rsidRPr="009000D5">
        <w:rPr>
          <w:sz w:val="24"/>
          <w:szCs w:val="24"/>
        </w:rPr>
        <w:t>Que reste-t-il selon vous des doctrines de 1946 dans le droit économique d'aujourd'hui ?</w:t>
      </w:r>
    </w:p>
    <w:p w14:paraId="63AF50E0" w14:textId="77777777" w:rsidR="00EA64E0" w:rsidRDefault="00EA64E0"/>
    <w:p w14:paraId="61E97A3F" w14:textId="783539E3" w:rsidR="00EA64E0" w:rsidRPr="0002630E" w:rsidRDefault="00EA64E0">
      <w:pPr>
        <w:rPr>
          <w:i/>
        </w:rPr>
      </w:pPr>
      <w:proofErr w:type="gramStart"/>
      <w:r w:rsidRPr="0002630E">
        <w:rPr>
          <w:i/>
        </w:rPr>
        <w:t>OU</w:t>
      </w:r>
      <w:proofErr w:type="gramEnd"/>
    </w:p>
    <w:p w14:paraId="2CFAA9B5" w14:textId="77777777" w:rsidR="00EA64E0" w:rsidRDefault="00EA64E0"/>
    <w:p w14:paraId="1C0CDF5E" w14:textId="6D38C828" w:rsidR="00EA64E0" w:rsidRPr="00EA64E0" w:rsidRDefault="00EA64E0">
      <w:pPr>
        <w:rPr>
          <w:b/>
        </w:rPr>
      </w:pPr>
      <w:r w:rsidRPr="009000D5">
        <w:rPr>
          <w:rFonts w:cstheme="minorHAnsi"/>
          <w:b/>
        </w:rPr>
        <w:t xml:space="preserve">SUJET 2 </w:t>
      </w:r>
      <w:r w:rsidR="009000D5" w:rsidRPr="009000D5">
        <w:rPr>
          <w:rFonts w:cstheme="minorHAnsi"/>
          <w:b/>
        </w:rPr>
        <w:t>Commentaire</w:t>
      </w:r>
      <w:r w:rsidR="009000D5">
        <w:rPr>
          <w:b/>
        </w:rPr>
        <w:t xml:space="preserve"> </w:t>
      </w:r>
      <w:r w:rsidRPr="00EA64E0">
        <w:rPr>
          <w:b/>
        </w:rPr>
        <w:t>:</w:t>
      </w:r>
    </w:p>
    <w:p w14:paraId="270BCD1F" w14:textId="77777777" w:rsidR="00EA64E0" w:rsidRDefault="00EA64E0"/>
    <w:p w14:paraId="392DE034" w14:textId="0C07EC95" w:rsidR="000E5F7C" w:rsidRDefault="000E5F7C">
      <w:r>
        <w:br w:type="page"/>
      </w:r>
      <w:bookmarkStart w:id="0" w:name="_GoBack"/>
      <w:bookmarkEnd w:id="0"/>
    </w:p>
    <w:p w14:paraId="2422BA26" w14:textId="77777777" w:rsidR="00952370" w:rsidRDefault="00952370" w:rsidP="000C0F09">
      <w:pPr>
        <w:pStyle w:val="statut"/>
        <w:spacing w:before="0" w:beforeAutospacing="0" w:after="0" w:afterAutospacing="0"/>
        <w:jc w:val="center"/>
        <w:textAlignment w:val="baseline"/>
        <w:rPr>
          <w:rFonts w:ascii="Baskerville" w:hAnsi="Baskerville"/>
          <w:sz w:val="22"/>
          <w:szCs w:val="22"/>
          <w:bdr w:val="none" w:sz="0" w:space="0" w:color="auto" w:frame="1"/>
        </w:rPr>
      </w:pPr>
    </w:p>
    <w:p w14:paraId="0E4D2064" w14:textId="015139CA" w:rsidR="000C0F09" w:rsidRPr="000C0F09" w:rsidRDefault="000C0F09" w:rsidP="000C0F09">
      <w:pPr>
        <w:pStyle w:val="statut"/>
        <w:spacing w:before="0" w:beforeAutospacing="0" w:after="0" w:afterAutospacing="0"/>
        <w:jc w:val="center"/>
        <w:textAlignment w:val="baseline"/>
        <w:rPr>
          <w:rFonts w:ascii="Baskerville" w:hAnsi="Baskerville"/>
          <w:sz w:val="22"/>
          <w:szCs w:val="22"/>
        </w:rPr>
      </w:pPr>
      <w:r w:rsidRPr="000C0F09">
        <w:rPr>
          <w:rFonts w:ascii="Baskerville" w:hAnsi="Baskerville"/>
          <w:sz w:val="22"/>
          <w:szCs w:val="22"/>
          <w:bdr w:val="none" w:sz="0" w:space="0" w:color="auto" w:frame="1"/>
        </w:rPr>
        <w:t>Proposition de</w:t>
      </w:r>
    </w:p>
    <w:p w14:paraId="3FE05400" w14:textId="77777777" w:rsidR="000C0F09" w:rsidRPr="000C0F09" w:rsidRDefault="000C0F09" w:rsidP="000C0F09">
      <w:pPr>
        <w:pStyle w:val="typedudocument"/>
        <w:spacing w:before="0" w:beforeAutospacing="0" w:after="0" w:afterAutospacing="0"/>
        <w:jc w:val="center"/>
        <w:textAlignment w:val="baseline"/>
        <w:rPr>
          <w:rFonts w:ascii="Baskerville" w:hAnsi="Baskerville"/>
          <w:b/>
          <w:bCs/>
          <w:i/>
          <w:iCs/>
          <w:sz w:val="22"/>
          <w:szCs w:val="22"/>
        </w:rPr>
      </w:pPr>
      <w:r w:rsidRPr="000C0F09">
        <w:rPr>
          <w:rFonts w:ascii="Baskerville" w:hAnsi="Baskerville"/>
          <w:b/>
          <w:bCs/>
          <w:sz w:val="22"/>
          <w:szCs w:val="22"/>
          <w:bdr w:val="none" w:sz="0" w:space="0" w:color="auto" w:frame="1"/>
        </w:rPr>
        <w:t>DIRECTIVE DU PARLEMENT EUROPÉEN ET DU CONSEIL</w:t>
      </w:r>
    </w:p>
    <w:p w14:paraId="1C035C45" w14:textId="3C0970C0" w:rsidR="000C0F09" w:rsidRPr="000C0F09" w:rsidRDefault="000C0F09" w:rsidP="000C0F09">
      <w:pPr>
        <w:pStyle w:val="titreobjet"/>
        <w:spacing w:before="0" w:beforeAutospacing="0" w:after="0" w:afterAutospacing="0"/>
        <w:jc w:val="center"/>
        <w:textAlignment w:val="baseline"/>
        <w:rPr>
          <w:rFonts w:ascii="Baskerville" w:hAnsi="Baskerville"/>
          <w:i/>
          <w:iCs/>
          <w:sz w:val="22"/>
          <w:szCs w:val="22"/>
          <w:bdr w:val="none" w:sz="0" w:space="0" w:color="auto" w:frame="1"/>
        </w:rPr>
      </w:pPr>
      <w:proofErr w:type="gramStart"/>
      <w:r w:rsidRPr="000C0F09">
        <w:rPr>
          <w:rFonts w:ascii="Baskerville" w:hAnsi="Baskerville"/>
          <w:b/>
          <w:bCs/>
          <w:i/>
          <w:iCs/>
          <w:sz w:val="22"/>
          <w:szCs w:val="22"/>
          <w:bdr w:val="none" w:sz="0" w:space="0" w:color="auto" w:frame="1"/>
        </w:rPr>
        <w:t>sur</w:t>
      </w:r>
      <w:proofErr w:type="gramEnd"/>
      <w:r w:rsidRPr="000C0F09">
        <w:rPr>
          <w:rFonts w:ascii="Baskerville" w:hAnsi="Baskerville"/>
          <w:b/>
          <w:bCs/>
          <w:i/>
          <w:iCs/>
          <w:sz w:val="22"/>
          <w:szCs w:val="22"/>
          <w:bdr w:val="none" w:sz="0" w:space="0" w:color="auto" w:frame="1"/>
        </w:rPr>
        <w:t xml:space="preserve"> le devoir de vigilance des entreprises en matière de durabilité et modifiant la directive </w:t>
      </w:r>
    </w:p>
    <w:p w14:paraId="7B6345FA" w14:textId="08796E69" w:rsidR="000C0F09" w:rsidRPr="000C0F09" w:rsidRDefault="000C0F09" w:rsidP="000C0F09">
      <w:pPr>
        <w:pStyle w:val="titreobjet"/>
        <w:spacing w:before="0" w:beforeAutospacing="0" w:after="0" w:afterAutospacing="0"/>
        <w:jc w:val="center"/>
        <w:textAlignment w:val="baseline"/>
        <w:rPr>
          <w:rFonts w:ascii="Baskerville" w:hAnsi="Baskerville"/>
          <w:sz w:val="22"/>
          <w:szCs w:val="22"/>
          <w:bdr w:val="none" w:sz="0" w:space="0" w:color="auto" w:frame="1"/>
        </w:rPr>
      </w:pPr>
      <w:r w:rsidRPr="000C0F09">
        <w:rPr>
          <w:rFonts w:ascii="Baskerville" w:hAnsi="Baskerville"/>
          <w:sz w:val="22"/>
          <w:szCs w:val="22"/>
          <w:bdr w:val="none" w:sz="0" w:space="0" w:color="auto" w:frame="1"/>
        </w:rPr>
        <w:t>23.2.2022</w:t>
      </w:r>
    </w:p>
    <w:p w14:paraId="1D03C18E" w14:textId="564511DA" w:rsidR="000C0F09" w:rsidRDefault="000C0F09" w:rsidP="000C0F09">
      <w:pPr>
        <w:jc w:val="both"/>
        <w:rPr>
          <w:rFonts w:ascii="Baskerville" w:eastAsia="Times New Roman" w:hAnsi="Baskerville" w:cs="Times New Roman"/>
          <w:sz w:val="22"/>
          <w:szCs w:val="22"/>
          <w:shd w:val="clear" w:color="auto" w:fill="FFFFFF"/>
          <w:lang w:eastAsia="fr-FR"/>
        </w:rPr>
      </w:pPr>
    </w:p>
    <w:p w14:paraId="32CAC392" w14:textId="77777777" w:rsidR="000C0F09" w:rsidRDefault="000C0F09" w:rsidP="000C0F09">
      <w:pPr>
        <w:jc w:val="both"/>
        <w:rPr>
          <w:rFonts w:ascii="Baskerville" w:eastAsia="Times New Roman" w:hAnsi="Baskerville" w:cs="Times New Roman"/>
          <w:sz w:val="22"/>
          <w:szCs w:val="22"/>
          <w:shd w:val="clear" w:color="auto" w:fill="FFFFFF"/>
          <w:lang w:eastAsia="fr-FR"/>
        </w:rPr>
      </w:pPr>
    </w:p>
    <w:p w14:paraId="2A7C3278" w14:textId="05FD0212" w:rsidR="000C0F09" w:rsidRPr="000C0F09" w:rsidRDefault="000C0F09" w:rsidP="000C0F09">
      <w:pPr>
        <w:jc w:val="both"/>
        <w:rPr>
          <w:rFonts w:ascii="Baskerville" w:eastAsia="Times New Roman" w:hAnsi="Baskerville" w:cs="Times New Roman"/>
          <w:b/>
          <w:bCs/>
          <w:sz w:val="22"/>
          <w:szCs w:val="22"/>
          <w:u w:val="single"/>
          <w:shd w:val="clear" w:color="auto" w:fill="FFFFFF"/>
          <w:lang w:eastAsia="fr-FR"/>
        </w:rPr>
      </w:pPr>
      <w:r w:rsidRPr="000C0F09">
        <w:rPr>
          <w:rFonts w:ascii="Baskerville" w:eastAsia="Times New Roman" w:hAnsi="Baskerville" w:cs="Times New Roman"/>
          <w:b/>
          <w:bCs/>
          <w:sz w:val="22"/>
          <w:szCs w:val="22"/>
          <w:u w:val="single"/>
          <w:shd w:val="clear" w:color="auto" w:fill="FFFFFF"/>
          <w:lang w:eastAsia="fr-FR"/>
        </w:rPr>
        <w:t>Exposé des motifs</w:t>
      </w:r>
    </w:p>
    <w:p w14:paraId="0EAB88E4" w14:textId="77777777" w:rsidR="000C0F09" w:rsidRPr="000C0F09" w:rsidRDefault="000C0F09" w:rsidP="000C0F09">
      <w:pPr>
        <w:jc w:val="both"/>
        <w:rPr>
          <w:rFonts w:ascii="Baskerville" w:eastAsia="Times New Roman" w:hAnsi="Baskerville" w:cs="Times New Roman"/>
          <w:sz w:val="22"/>
          <w:szCs w:val="22"/>
          <w:shd w:val="clear" w:color="auto" w:fill="FFFFFF"/>
          <w:lang w:eastAsia="fr-FR"/>
        </w:rPr>
      </w:pPr>
    </w:p>
    <w:p w14:paraId="1C049812" w14:textId="27BD76AE" w:rsidR="000C0F09" w:rsidRPr="000C0F09" w:rsidRDefault="000C0F09" w:rsidP="000C0F09">
      <w:pPr>
        <w:pStyle w:val="li"/>
        <w:spacing w:before="0" w:beforeAutospacing="0" w:after="0" w:afterAutospacing="0"/>
        <w:jc w:val="both"/>
        <w:textAlignment w:val="baseline"/>
        <w:rPr>
          <w:rFonts w:ascii="Baskerville" w:hAnsi="Baskerville"/>
          <w:sz w:val="22"/>
          <w:szCs w:val="22"/>
        </w:rPr>
      </w:pPr>
      <w:r w:rsidRPr="000C0F09">
        <w:rPr>
          <w:rFonts w:ascii="Baskerville" w:hAnsi="Baskerville"/>
          <w:sz w:val="22"/>
          <w:szCs w:val="22"/>
          <w:bdr w:val="none" w:sz="0" w:space="0" w:color="auto" w:frame="1"/>
        </w:rPr>
        <w:t>Le comportement des entreprises dans tous les secteurs de l’économie est capital pour la réalisation des objectifs de l’Union en matière de durabilité, car les entreprises de l’Union, les grandes entreprises en particulier, s’appuient sur des chaînes de valeur mondiales. Il est aussi dans l’intérêt des entreprises de protéger les droits de l’homme et l’environnement, compte tenu notamment des inquiétudes croissantes que suscitent ces sujets chez les consommateurs et les investisseurs. Plusieurs initiatives encourageant les entreprises soutenant une transition axée sur les valeurs existent déjà au niveau de l’Union</w:t>
      </w:r>
      <w:r w:rsidRPr="000C0F09">
        <w:rPr>
          <w:rStyle w:val="apple-converted-space"/>
          <w:rFonts w:ascii="Baskerville" w:hAnsi="Baskerville"/>
          <w:sz w:val="22"/>
          <w:szCs w:val="22"/>
          <w:bdr w:val="none" w:sz="0" w:space="0" w:color="auto" w:frame="1"/>
        </w:rPr>
        <w:t> </w:t>
      </w:r>
      <w:r w:rsidRPr="000C0F09">
        <w:rPr>
          <w:rFonts w:ascii="Baskerville" w:hAnsi="Baskerville"/>
          <w:sz w:val="22"/>
          <w:szCs w:val="22"/>
          <w:bdr w:val="none" w:sz="0" w:space="0" w:color="auto" w:frame="1"/>
        </w:rPr>
        <w:t>et au niveau national.</w:t>
      </w:r>
      <w:r w:rsidRPr="000C0F09">
        <w:rPr>
          <w:rStyle w:val="apple-converted-space"/>
          <w:rFonts w:ascii="Baskerville" w:hAnsi="Baskerville"/>
          <w:sz w:val="22"/>
          <w:szCs w:val="22"/>
          <w:bdr w:val="none" w:sz="0" w:space="0" w:color="auto" w:frame="1"/>
        </w:rPr>
        <w:t> </w:t>
      </w:r>
    </w:p>
    <w:p w14:paraId="079BFAA5" w14:textId="77777777" w:rsidR="000C0F09" w:rsidRPr="000C0F09" w:rsidRDefault="000C0F09" w:rsidP="000C0F09">
      <w:pPr>
        <w:pStyle w:val="li"/>
        <w:spacing w:before="0" w:beforeAutospacing="0" w:after="0" w:afterAutospacing="0"/>
        <w:jc w:val="both"/>
        <w:textAlignment w:val="baseline"/>
        <w:rPr>
          <w:rStyle w:val="num"/>
          <w:rFonts w:ascii="Baskerville" w:hAnsi="Baskerville"/>
          <w:sz w:val="22"/>
          <w:szCs w:val="22"/>
          <w:bdr w:val="none" w:sz="0" w:space="0" w:color="auto" w:frame="1"/>
        </w:rPr>
      </w:pPr>
    </w:p>
    <w:p w14:paraId="774AA0EF" w14:textId="52162364" w:rsidR="000C0F09" w:rsidRPr="000C0F09" w:rsidRDefault="000C0F09" w:rsidP="000C0F09">
      <w:pPr>
        <w:pStyle w:val="li"/>
        <w:spacing w:before="0" w:beforeAutospacing="0" w:after="0" w:afterAutospacing="0"/>
        <w:jc w:val="both"/>
        <w:textAlignment w:val="baseline"/>
        <w:rPr>
          <w:rFonts w:ascii="Baskerville" w:hAnsi="Baskerville"/>
          <w:sz w:val="22"/>
          <w:szCs w:val="22"/>
        </w:rPr>
      </w:pPr>
      <w:r w:rsidRPr="000C0F09">
        <w:rPr>
          <w:rFonts w:ascii="Baskerville" w:hAnsi="Baskerville"/>
          <w:sz w:val="22"/>
          <w:szCs w:val="22"/>
          <w:bdr w:val="none" w:sz="0" w:space="0" w:color="auto" w:frame="1"/>
        </w:rPr>
        <w:t>Les normes internationales existantes en matière de conduite responsable des entreprises précisent que ces dernières devraient protéger les droits de l’homme et expliquent comment celles-ci devraient prendre en compte la protection de l’environnement dans leurs activités et leurs chaînes de valeur. Les principes directeurs relatifs aux entreprises et aux droits de l’homme des Nations unies</w:t>
      </w:r>
      <w:r w:rsidRPr="000C0F09">
        <w:rPr>
          <w:rStyle w:val="apple-converted-space"/>
          <w:rFonts w:ascii="Baskerville" w:hAnsi="Baskerville"/>
          <w:sz w:val="22"/>
          <w:szCs w:val="22"/>
          <w:bdr w:val="none" w:sz="0" w:space="0" w:color="auto" w:frame="1"/>
        </w:rPr>
        <w:t> </w:t>
      </w:r>
      <w:r w:rsidRPr="000C0F09">
        <w:rPr>
          <w:rFonts w:ascii="Baskerville" w:hAnsi="Baskerville"/>
          <w:sz w:val="22"/>
          <w:szCs w:val="22"/>
          <w:bdr w:val="none" w:sz="0" w:space="0" w:color="auto" w:frame="1"/>
        </w:rPr>
        <w:t>reconnaissent la responsabilité qui incombe aux entreprises d’exercer leur devoir de vigilance en matière de droits de l’homme en recensant, prévenant et atténuant les effets néfastes que pourraient avoir leurs activités sur les droits de l’homme et en rendant compte de la manière dont ils remédient auxdits effets. Ces principes directeurs stipulent que les entreprises devraient éviter d’enfreindre les droits de l’homme et remédier aux incidences négatives sur les droits de l'homme qu’elles ont causées, auxquelles elles ont contribué ou auxquelles elles sont liées par leurs propres activités et celles de leurs filiales et par l’intermédiaire de leurs relations commerciales directes et indirectes.</w:t>
      </w:r>
    </w:p>
    <w:p w14:paraId="5BC9B3D3" w14:textId="436D20B0" w:rsidR="000C0F09" w:rsidRPr="000C0F09" w:rsidRDefault="000C0F09" w:rsidP="000C0F09">
      <w:pPr>
        <w:jc w:val="both"/>
        <w:rPr>
          <w:rFonts w:ascii="Baskerville" w:eastAsia="Times New Roman" w:hAnsi="Baskerville" w:cs="Times New Roman"/>
          <w:sz w:val="22"/>
          <w:szCs w:val="22"/>
          <w:shd w:val="clear" w:color="auto" w:fill="FFFFFF"/>
          <w:lang w:eastAsia="fr-FR"/>
        </w:rPr>
      </w:pPr>
    </w:p>
    <w:p w14:paraId="4CF3A95C" w14:textId="77777777" w:rsidR="000C0F09" w:rsidRPr="000C0F09" w:rsidRDefault="000C0F09" w:rsidP="000C0F09">
      <w:pPr>
        <w:pStyle w:val="li"/>
        <w:spacing w:before="0" w:beforeAutospacing="0" w:after="0" w:afterAutospacing="0"/>
        <w:jc w:val="both"/>
        <w:textAlignment w:val="baseline"/>
        <w:rPr>
          <w:rFonts w:ascii="Baskerville" w:hAnsi="Baskerville"/>
          <w:sz w:val="22"/>
          <w:szCs w:val="22"/>
        </w:rPr>
      </w:pPr>
      <w:r w:rsidRPr="000C0F09">
        <w:rPr>
          <w:rFonts w:ascii="Baskerville" w:hAnsi="Baskerville"/>
          <w:sz w:val="22"/>
          <w:szCs w:val="22"/>
          <w:bdr w:val="none" w:sz="0" w:space="0" w:color="auto" w:frame="1"/>
        </w:rPr>
        <w:t>La présente directive vise à faire en sorte que les entreprises qui opèrent sur le marché intérieur contribuent au développement durable et à la transition vers la durabilité des économies et des sociétés grâce au recensement, à la prévention, à l’atténuation, à la suppression et à la réduction au minimum des incidences négatives potentielles ou réelles sur les droits de l’homme et l’environnement découlant des activités propres aux entreprises, à leurs filiales et à leurs chaînes de valeur.</w:t>
      </w:r>
    </w:p>
    <w:p w14:paraId="6DB920E4" w14:textId="77777777" w:rsidR="000C0F09" w:rsidRPr="000C0F09" w:rsidRDefault="000C0F09" w:rsidP="000C0F09">
      <w:pPr>
        <w:pStyle w:val="li"/>
        <w:spacing w:before="0" w:beforeAutospacing="0" w:after="0" w:afterAutospacing="0"/>
        <w:jc w:val="both"/>
        <w:textAlignment w:val="baseline"/>
        <w:rPr>
          <w:rStyle w:val="num"/>
          <w:rFonts w:ascii="Baskerville" w:hAnsi="Baskerville"/>
          <w:sz w:val="22"/>
          <w:szCs w:val="22"/>
          <w:bdr w:val="none" w:sz="0" w:space="0" w:color="auto" w:frame="1"/>
        </w:rPr>
      </w:pPr>
    </w:p>
    <w:p w14:paraId="3AB514ED" w14:textId="7DEA5F44" w:rsidR="000C0F09" w:rsidRPr="000C0F09" w:rsidRDefault="000C0F09" w:rsidP="000C0F09">
      <w:pPr>
        <w:pStyle w:val="li"/>
        <w:spacing w:before="0" w:beforeAutospacing="0" w:after="0" w:afterAutospacing="0"/>
        <w:jc w:val="both"/>
        <w:textAlignment w:val="baseline"/>
        <w:rPr>
          <w:rFonts w:ascii="Baskerville" w:hAnsi="Baskerville"/>
          <w:sz w:val="22"/>
          <w:szCs w:val="22"/>
        </w:rPr>
      </w:pPr>
      <w:r w:rsidRPr="000C0F09">
        <w:rPr>
          <w:rFonts w:ascii="Baskerville" w:hAnsi="Baskerville"/>
          <w:sz w:val="22"/>
          <w:szCs w:val="22"/>
          <w:bdr w:val="none" w:sz="0" w:space="0" w:color="auto" w:frame="1"/>
        </w:rPr>
        <w:t>La présente directive ne devrait pas exiger des entreprises de garantir, en toutes circonstances, que des incidences négatives ne se produiront jamais ni qu’il y sera mis fin. Ainsi, en ce qui concerne les relations commerciales dans lesquelles l’incidence négative est la conséquence d’une intervention de l’État, l’entreprise peut ne pas être en mesure de parvenir à de tels résultats. Par conséquent, les principales obligations figurant dans la présente directive devraient être des</w:t>
      </w:r>
      <w:proofErr w:type="gramStart"/>
      <w:r w:rsidRPr="000C0F09">
        <w:rPr>
          <w:rFonts w:ascii="Baskerville" w:hAnsi="Baskerville"/>
          <w:sz w:val="22"/>
          <w:szCs w:val="22"/>
          <w:bdr w:val="none" w:sz="0" w:space="0" w:color="auto" w:frame="1"/>
        </w:rPr>
        <w:t xml:space="preserve"> «obligations</w:t>
      </w:r>
      <w:proofErr w:type="gramEnd"/>
      <w:r w:rsidRPr="000C0F09">
        <w:rPr>
          <w:rFonts w:ascii="Baskerville" w:hAnsi="Baskerville"/>
          <w:sz w:val="22"/>
          <w:szCs w:val="22"/>
          <w:bdr w:val="none" w:sz="0" w:space="0" w:color="auto" w:frame="1"/>
        </w:rPr>
        <w:t xml:space="preserve"> de moyens». Il y a lieu de tenir compte des particularités de la chaîne de valeur de l’entreprise, du secteur ou de la zone géographique servant de cadre aux activités des partenaires de sa chaîne de valeur, de la capacité de l’entreprise à influencer ses relations commerciales directes et indirectes, mais aussi de la question de savoir si l’entreprise pourrait accroître son pouvoir d’influence.</w:t>
      </w:r>
    </w:p>
    <w:p w14:paraId="4C8BE2B1" w14:textId="77777777" w:rsidR="000C0F09" w:rsidRPr="000C0F09" w:rsidRDefault="000C0F09" w:rsidP="000C0F09">
      <w:pPr>
        <w:jc w:val="both"/>
        <w:rPr>
          <w:rFonts w:ascii="Baskerville" w:eastAsia="Times New Roman" w:hAnsi="Baskerville" w:cs="Times New Roman"/>
          <w:sz w:val="22"/>
          <w:szCs w:val="22"/>
          <w:shd w:val="clear" w:color="auto" w:fill="FFFFFF"/>
          <w:lang w:eastAsia="fr-FR"/>
        </w:rPr>
      </w:pPr>
    </w:p>
    <w:p w14:paraId="177A1385" w14:textId="23559F27" w:rsidR="000C0F09" w:rsidRPr="000C0F09" w:rsidRDefault="000C0F09" w:rsidP="000C0F09">
      <w:pPr>
        <w:jc w:val="both"/>
        <w:rPr>
          <w:rFonts w:ascii="Baskerville" w:eastAsia="Times New Roman" w:hAnsi="Baskerville" w:cs="Times New Roman"/>
          <w:sz w:val="22"/>
          <w:szCs w:val="22"/>
          <w:lang w:eastAsia="fr-FR"/>
        </w:rPr>
      </w:pPr>
      <w:r w:rsidRPr="000C0F09">
        <w:rPr>
          <w:rFonts w:ascii="Baskerville" w:eastAsia="Times New Roman" w:hAnsi="Baskerville" w:cs="Times New Roman"/>
          <w:sz w:val="22"/>
          <w:szCs w:val="22"/>
          <w:shd w:val="clear" w:color="auto" w:fill="FFFFFF"/>
          <w:lang w:eastAsia="fr-FR"/>
        </w:rPr>
        <w:t>Afin de garantir que le devoir de vigilance fait partie de leur politique d’entreprise et conformément au cadre international pertinent, les entreprises devraient intégrer le devoir de vigilance dans toutes leurs politiques d’entreprise et mettre en place une politique en matière de vigilance. La politique de vigilance devrait contenir une description de l’approche suivie par l’entreprise à l’égard de ce devoir, notamment à long terme, un code de conduite décrivant les règles et les principes à suivre par les employés et les filiales de l’entreprise, une description des processus mis en place pour mettre en œuvre le devoir de vigilance, dont les mesures prises pour vérifier le respect du code de conduite et étendre son application aux relations commerciales bien établies.</w:t>
      </w:r>
    </w:p>
    <w:p w14:paraId="0C86186E" w14:textId="77777777" w:rsidR="00883EC6" w:rsidRPr="000C0F09" w:rsidRDefault="0002630E" w:rsidP="000C0F09">
      <w:pPr>
        <w:jc w:val="both"/>
        <w:rPr>
          <w:rFonts w:ascii="Baskerville" w:hAnsi="Baskerville"/>
          <w:sz w:val="22"/>
          <w:szCs w:val="22"/>
        </w:rPr>
      </w:pPr>
    </w:p>
    <w:sectPr w:rsidR="00883EC6" w:rsidRPr="000C0F09" w:rsidSect="000B53B7">
      <w:footerReference w:type="default" r:id="rId6"/>
      <w:pgSz w:w="11900" w:h="16840"/>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ECAD5" w14:textId="77777777" w:rsidR="00C65127" w:rsidRDefault="00C65127" w:rsidP="00C65127">
      <w:r>
        <w:separator/>
      </w:r>
    </w:p>
  </w:endnote>
  <w:endnote w:type="continuationSeparator" w:id="0">
    <w:p w14:paraId="4408EFA6" w14:textId="77777777" w:rsidR="00C65127" w:rsidRDefault="00C65127" w:rsidP="00C6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w:altName w:val="Cambria Math"/>
    <w:charset w:val="00"/>
    <w:family w:val="roman"/>
    <w:pitch w:val="variable"/>
    <w:sig w:usb0="00000001" w:usb1="02000000"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743288"/>
      <w:docPartObj>
        <w:docPartGallery w:val="Page Numbers (Bottom of Page)"/>
        <w:docPartUnique/>
      </w:docPartObj>
    </w:sdtPr>
    <w:sdtEndPr/>
    <w:sdtContent>
      <w:p w14:paraId="18B363D5" w14:textId="12348B00" w:rsidR="00C65127" w:rsidRDefault="00C65127" w:rsidP="000B53B7">
        <w:pPr>
          <w:pStyle w:val="Pieddepage"/>
          <w:jc w:val="right"/>
        </w:pPr>
        <w:r>
          <w:fldChar w:fldCharType="begin"/>
        </w:r>
        <w:r>
          <w:instrText>PAGE   \* MERGEFORMAT</w:instrText>
        </w:r>
        <w:r>
          <w:fldChar w:fldCharType="separate"/>
        </w:r>
        <w:r w:rsidR="0002630E">
          <w:rPr>
            <w:noProof/>
          </w:rPr>
          <w:t>2</w:t>
        </w:r>
        <w:r>
          <w:fldChar w:fldCharType="end"/>
        </w: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9460A" w14:textId="77777777" w:rsidR="00C65127" w:rsidRDefault="00C65127" w:rsidP="00C65127">
      <w:r>
        <w:separator/>
      </w:r>
    </w:p>
  </w:footnote>
  <w:footnote w:type="continuationSeparator" w:id="0">
    <w:p w14:paraId="4CACD8B9" w14:textId="77777777" w:rsidR="00C65127" w:rsidRDefault="00C65127" w:rsidP="00C65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09"/>
    <w:rsid w:val="0002630E"/>
    <w:rsid w:val="000B53B7"/>
    <w:rsid w:val="000C0F09"/>
    <w:rsid w:val="000E5F7C"/>
    <w:rsid w:val="002C3474"/>
    <w:rsid w:val="00666248"/>
    <w:rsid w:val="006F0D9E"/>
    <w:rsid w:val="009000D5"/>
    <w:rsid w:val="00952370"/>
    <w:rsid w:val="00C65127"/>
    <w:rsid w:val="00EA6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73C6"/>
  <w15:chartTrackingRefBased/>
  <w15:docId w15:val="{12148A86-DAD1-4F41-84A8-FED93557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tut">
    <w:name w:val="statut"/>
    <w:basedOn w:val="Normal"/>
    <w:rsid w:val="000C0F09"/>
    <w:pPr>
      <w:spacing w:before="100" w:beforeAutospacing="1" w:after="100" w:afterAutospacing="1"/>
    </w:pPr>
    <w:rPr>
      <w:rFonts w:ascii="Times New Roman" w:eastAsia="Times New Roman" w:hAnsi="Times New Roman" w:cs="Times New Roman"/>
      <w:lang w:eastAsia="fr-FR"/>
    </w:rPr>
  </w:style>
  <w:style w:type="paragraph" w:customStyle="1" w:styleId="typedudocument">
    <w:name w:val="typedudocument"/>
    <w:basedOn w:val="Normal"/>
    <w:rsid w:val="000C0F09"/>
    <w:pPr>
      <w:spacing w:before="100" w:beforeAutospacing="1" w:after="100" w:afterAutospacing="1"/>
    </w:pPr>
    <w:rPr>
      <w:rFonts w:ascii="Times New Roman" w:eastAsia="Times New Roman" w:hAnsi="Times New Roman" w:cs="Times New Roman"/>
      <w:lang w:eastAsia="fr-FR"/>
    </w:rPr>
  </w:style>
  <w:style w:type="paragraph" w:customStyle="1" w:styleId="titreobjet">
    <w:name w:val="titreobjet"/>
    <w:basedOn w:val="Normal"/>
    <w:rsid w:val="000C0F09"/>
    <w:pPr>
      <w:spacing w:before="100" w:beforeAutospacing="1" w:after="100" w:afterAutospacing="1"/>
    </w:pPr>
    <w:rPr>
      <w:rFonts w:ascii="Times New Roman" w:eastAsia="Times New Roman" w:hAnsi="Times New Roman" w:cs="Times New Roman"/>
      <w:lang w:eastAsia="fr-FR"/>
    </w:rPr>
  </w:style>
  <w:style w:type="paragraph" w:customStyle="1" w:styleId="li">
    <w:name w:val="li"/>
    <w:basedOn w:val="Normal"/>
    <w:rsid w:val="000C0F09"/>
    <w:pPr>
      <w:spacing w:before="100" w:beforeAutospacing="1" w:after="100" w:afterAutospacing="1"/>
    </w:pPr>
    <w:rPr>
      <w:rFonts w:ascii="Times New Roman" w:eastAsia="Times New Roman" w:hAnsi="Times New Roman" w:cs="Times New Roman"/>
      <w:lang w:eastAsia="fr-FR"/>
    </w:rPr>
  </w:style>
  <w:style w:type="character" w:customStyle="1" w:styleId="footnotereference">
    <w:name w:val="footnotereference"/>
    <w:basedOn w:val="Policepardfaut"/>
    <w:rsid w:val="000C0F09"/>
  </w:style>
  <w:style w:type="character" w:customStyle="1" w:styleId="apple-converted-space">
    <w:name w:val="apple-converted-space"/>
    <w:basedOn w:val="Policepardfaut"/>
    <w:rsid w:val="000C0F09"/>
  </w:style>
  <w:style w:type="character" w:styleId="Lienhypertexte">
    <w:name w:val="Hyperlink"/>
    <w:basedOn w:val="Policepardfaut"/>
    <w:uiPriority w:val="99"/>
    <w:semiHidden/>
    <w:unhideWhenUsed/>
    <w:rsid w:val="000C0F09"/>
    <w:rPr>
      <w:color w:val="0000FF"/>
      <w:u w:val="single"/>
    </w:rPr>
  </w:style>
  <w:style w:type="character" w:customStyle="1" w:styleId="num">
    <w:name w:val="num"/>
    <w:basedOn w:val="Policepardfaut"/>
    <w:rsid w:val="000C0F09"/>
  </w:style>
  <w:style w:type="paragraph" w:styleId="En-tte">
    <w:name w:val="header"/>
    <w:basedOn w:val="Normal"/>
    <w:link w:val="En-tteCar"/>
    <w:uiPriority w:val="99"/>
    <w:unhideWhenUsed/>
    <w:rsid w:val="00C65127"/>
    <w:pPr>
      <w:tabs>
        <w:tab w:val="center" w:pos="4536"/>
        <w:tab w:val="right" w:pos="9072"/>
      </w:tabs>
    </w:pPr>
  </w:style>
  <w:style w:type="character" w:customStyle="1" w:styleId="En-tteCar">
    <w:name w:val="En-tête Car"/>
    <w:basedOn w:val="Policepardfaut"/>
    <w:link w:val="En-tte"/>
    <w:uiPriority w:val="99"/>
    <w:rsid w:val="00C65127"/>
  </w:style>
  <w:style w:type="paragraph" w:styleId="Pieddepage">
    <w:name w:val="footer"/>
    <w:basedOn w:val="Normal"/>
    <w:link w:val="PieddepageCar"/>
    <w:uiPriority w:val="99"/>
    <w:unhideWhenUsed/>
    <w:rsid w:val="00C65127"/>
    <w:pPr>
      <w:tabs>
        <w:tab w:val="center" w:pos="4536"/>
        <w:tab w:val="right" w:pos="9072"/>
      </w:tabs>
    </w:pPr>
  </w:style>
  <w:style w:type="character" w:customStyle="1" w:styleId="PieddepageCar">
    <w:name w:val="Pied de page Car"/>
    <w:basedOn w:val="Policepardfaut"/>
    <w:link w:val="Pieddepage"/>
    <w:uiPriority w:val="99"/>
    <w:rsid w:val="00C65127"/>
  </w:style>
  <w:style w:type="paragraph" w:styleId="Textebrut">
    <w:name w:val="Plain Text"/>
    <w:basedOn w:val="Normal"/>
    <w:link w:val="TextebrutCar"/>
    <w:uiPriority w:val="99"/>
    <w:semiHidden/>
    <w:unhideWhenUsed/>
    <w:rsid w:val="00EA64E0"/>
    <w:rPr>
      <w:rFonts w:ascii="Calibri" w:hAnsi="Calibri"/>
      <w:sz w:val="22"/>
      <w:szCs w:val="21"/>
    </w:rPr>
  </w:style>
  <w:style w:type="character" w:customStyle="1" w:styleId="TextebrutCar">
    <w:name w:val="Texte brut Car"/>
    <w:basedOn w:val="Policepardfaut"/>
    <w:link w:val="Textebrut"/>
    <w:uiPriority w:val="99"/>
    <w:semiHidden/>
    <w:rsid w:val="00EA64E0"/>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5299">
      <w:bodyDiv w:val="1"/>
      <w:marLeft w:val="0"/>
      <w:marRight w:val="0"/>
      <w:marTop w:val="0"/>
      <w:marBottom w:val="0"/>
      <w:divBdr>
        <w:top w:val="none" w:sz="0" w:space="0" w:color="auto"/>
        <w:left w:val="none" w:sz="0" w:space="0" w:color="auto"/>
        <w:bottom w:val="none" w:sz="0" w:space="0" w:color="auto"/>
        <w:right w:val="none" w:sz="0" w:space="0" w:color="auto"/>
      </w:divBdr>
    </w:div>
    <w:div w:id="1323192373">
      <w:bodyDiv w:val="1"/>
      <w:marLeft w:val="0"/>
      <w:marRight w:val="0"/>
      <w:marTop w:val="0"/>
      <w:marBottom w:val="0"/>
      <w:divBdr>
        <w:top w:val="none" w:sz="0" w:space="0" w:color="auto"/>
        <w:left w:val="none" w:sz="0" w:space="0" w:color="auto"/>
        <w:bottom w:val="none" w:sz="0" w:space="0" w:color="auto"/>
        <w:right w:val="none" w:sz="0" w:space="0" w:color="auto"/>
      </w:divBdr>
    </w:div>
    <w:div w:id="1819152643">
      <w:bodyDiv w:val="1"/>
      <w:marLeft w:val="0"/>
      <w:marRight w:val="0"/>
      <w:marTop w:val="0"/>
      <w:marBottom w:val="0"/>
      <w:divBdr>
        <w:top w:val="none" w:sz="0" w:space="0" w:color="auto"/>
        <w:left w:val="none" w:sz="0" w:space="0" w:color="auto"/>
        <w:bottom w:val="none" w:sz="0" w:space="0" w:color="auto"/>
        <w:right w:val="none" w:sz="0" w:space="0" w:color="auto"/>
      </w:divBdr>
    </w:div>
    <w:div w:id="1921596484">
      <w:bodyDiv w:val="1"/>
      <w:marLeft w:val="0"/>
      <w:marRight w:val="0"/>
      <w:marTop w:val="0"/>
      <w:marBottom w:val="0"/>
      <w:divBdr>
        <w:top w:val="none" w:sz="0" w:space="0" w:color="auto"/>
        <w:left w:val="none" w:sz="0" w:space="0" w:color="auto"/>
        <w:bottom w:val="none" w:sz="0" w:space="0" w:color="auto"/>
        <w:right w:val="none" w:sz="0" w:space="0" w:color="auto"/>
      </w:divBdr>
    </w:div>
    <w:div w:id="206918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737</Words>
  <Characters>4054</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Blanc</dc:creator>
  <cp:keywords/>
  <dc:description/>
  <cp:lastModifiedBy>UP2</cp:lastModifiedBy>
  <cp:revision>9</cp:revision>
  <dcterms:created xsi:type="dcterms:W3CDTF">2022-12-08T07:10:00Z</dcterms:created>
  <dcterms:modified xsi:type="dcterms:W3CDTF">2022-12-10T09:23:00Z</dcterms:modified>
</cp:coreProperties>
</file>