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E216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58D0527D" w14:textId="77777777" w:rsidR="00944A74" w:rsidRDefault="00944A74" w:rsidP="009D75FE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spacing w:line="264" w:lineRule="auto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3B417D">
        <w:rPr>
          <w:rFonts w:ascii="Arial" w:hAnsi="Arial" w:cs="Arial"/>
          <w:b/>
          <w:bCs/>
          <w:color w:val="000000"/>
        </w:rPr>
        <w:t>F</w:t>
      </w:r>
      <w:r w:rsidR="00940555">
        <w:rPr>
          <w:rFonts w:ascii="Arial" w:hAnsi="Arial" w:cs="Arial"/>
          <w:b/>
          <w:bCs/>
          <w:color w:val="000000"/>
        </w:rPr>
        <w:t>. 1</w:t>
      </w:r>
    </w:p>
    <w:p w14:paraId="4AF95FD9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DEEAE3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11E5E541" w14:textId="04CF9201" w:rsidR="00944A74" w:rsidRDefault="00944A74" w:rsidP="009D75FE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spacing w:line="264" w:lineRule="auto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AF406B">
        <w:t>2044</w:t>
      </w:r>
    </w:p>
    <w:p w14:paraId="68448CE6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28DE3A82" w14:textId="77777777" w:rsidR="00944A74" w:rsidRDefault="00944A74" w:rsidP="009D75FE">
      <w:pPr>
        <w:widowControl w:val="0"/>
        <w:tabs>
          <w:tab w:val="left" w:pos="62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2D47250B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p w14:paraId="1D64DA0F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6"/>
          <w:szCs w:val="6"/>
        </w:rPr>
      </w:pPr>
    </w:p>
    <w:p w14:paraId="59EFE422" w14:textId="6D6282C2" w:rsidR="00944A74" w:rsidRPr="00EF4891" w:rsidRDefault="00944A74" w:rsidP="009D75FE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630FE223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p w14:paraId="0CE63E58" w14:textId="57172949" w:rsidR="00944A74" w:rsidRPr="00EF4891" w:rsidRDefault="00944A74" w:rsidP="009D75FE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>Année d</w:t>
      </w:r>
      <w:r w:rsidR="003F30A8">
        <w:rPr>
          <w:rFonts w:ascii="Arial" w:hAnsi="Arial" w:cs="Arial"/>
          <w:b/>
          <w:bCs/>
          <w:color w:val="000000"/>
        </w:rPr>
        <w:t>’</w:t>
      </w:r>
      <w:r>
        <w:rPr>
          <w:rFonts w:ascii="Arial" w:hAnsi="Arial" w:cs="Arial"/>
          <w:b/>
          <w:bCs/>
          <w:color w:val="000000"/>
        </w:rPr>
        <w:t xml:space="preserve">étude : </w:t>
      </w:r>
      <w:r>
        <w:tab/>
      </w:r>
      <w:r w:rsidR="00AF406B">
        <w:t>Première année de Master Relations internationales</w:t>
      </w:r>
    </w:p>
    <w:p w14:paraId="77F26013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p w14:paraId="08AECD21" w14:textId="619175AA" w:rsidR="00944A74" w:rsidRDefault="00944A74" w:rsidP="009D75FE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spacing w:line="264" w:lineRule="auto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</w:r>
      <w:r w:rsidR="00AF406B" w:rsidRPr="000D7256">
        <w:t>Introduction au droit public et au droit international public</w:t>
      </w:r>
    </w:p>
    <w:p w14:paraId="3500115A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b/>
          <w:bCs/>
          <w:i/>
          <w:iCs/>
          <w:color w:val="000000"/>
          <w:sz w:val="8"/>
          <w:szCs w:val="8"/>
        </w:rPr>
      </w:pPr>
    </w:p>
    <w:p w14:paraId="5EA68388" w14:textId="1011C15A" w:rsidR="00CD2095" w:rsidRPr="00254799" w:rsidRDefault="00CD2095" w:rsidP="009D75FE">
      <w:pPr>
        <w:widowControl w:val="0"/>
        <w:tabs>
          <w:tab w:val="left" w:pos="2688"/>
        </w:tabs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>(Unités d</w:t>
      </w:r>
      <w:r w:rsidR="003F30A8">
        <w:rPr>
          <w:sz w:val="20"/>
          <w:szCs w:val="20"/>
        </w:rPr>
        <w:t>’</w:t>
      </w:r>
      <w:r w:rsidRPr="00AB6A7C">
        <w:rPr>
          <w:sz w:val="20"/>
          <w:szCs w:val="20"/>
        </w:rPr>
        <w:t xml:space="preserve">Enseignements </w:t>
      </w:r>
      <w:r w:rsidR="003B417D">
        <w:rPr>
          <w:sz w:val="20"/>
          <w:szCs w:val="20"/>
        </w:rPr>
        <w:t>Fondamentaux</w:t>
      </w:r>
      <w:r w:rsidR="007E7823"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1C1BD547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15"/>
          <w:szCs w:val="15"/>
        </w:rPr>
      </w:pPr>
    </w:p>
    <w:p w14:paraId="72D1D08B" w14:textId="3CB7569B" w:rsidR="00944A74" w:rsidRDefault="00944A74" w:rsidP="009D75FE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line="264" w:lineRule="auto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 w:rsidR="006E78FF">
        <w:rPr>
          <w:rFonts w:ascii="Arial" w:hAnsi="Arial" w:cs="Arial"/>
          <w:b/>
          <w:bCs/>
          <w:color w:val="000000"/>
        </w:rPr>
        <w:tab/>
      </w:r>
      <w:r w:rsidR="00AF406B">
        <w:rPr>
          <w:rFonts w:ascii="Arial" w:hAnsi="Arial" w:cs="Arial"/>
          <w:b/>
          <w:bCs/>
          <w:color w:val="000000"/>
        </w:rPr>
        <w:t>Madame A.-M. Thévenot-Werner</w:t>
      </w:r>
    </w:p>
    <w:p w14:paraId="35B5FE76" w14:textId="77777777" w:rsidR="00944A74" w:rsidRDefault="00944A74" w:rsidP="009D75FE">
      <w:pPr>
        <w:widowControl w:val="0"/>
        <w:autoSpaceDE w:val="0"/>
        <w:autoSpaceDN w:val="0"/>
        <w:adjustRightInd w:val="0"/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p w14:paraId="21EFC93D" w14:textId="0E1BEE8F" w:rsidR="00110FE2" w:rsidRPr="00110FE2" w:rsidRDefault="00110FE2" w:rsidP="009D75FE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spacing w:line="264" w:lineRule="auto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>Durée de l</w:t>
      </w:r>
      <w:r w:rsidR="003F30A8">
        <w:rPr>
          <w:rFonts w:ascii="Arial" w:hAnsi="Arial" w:cs="Arial"/>
          <w:b/>
        </w:rPr>
        <w:t>’</w:t>
      </w:r>
      <w:r w:rsidRPr="00110FE2">
        <w:rPr>
          <w:rFonts w:ascii="Arial" w:hAnsi="Arial" w:cs="Arial"/>
          <w:b/>
        </w:rPr>
        <w:t xml:space="preserve">épreuve : </w:t>
      </w:r>
      <w:r w:rsidR="006E78FF">
        <w:rPr>
          <w:rFonts w:ascii="Arial" w:hAnsi="Arial" w:cs="Arial"/>
          <w:b/>
        </w:rPr>
        <w:tab/>
      </w:r>
      <w:r w:rsidR="00AF406B">
        <w:rPr>
          <w:rFonts w:ascii="Arial" w:hAnsi="Arial" w:cs="Arial"/>
          <w:b/>
        </w:rPr>
        <w:t>4h</w:t>
      </w:r>
    </w:p>
    <w:p w14:paraId="0707F0DF" w14:textId="77777777" w:rsidR="00110FE2" w:rsidRDefault="00110FE2" w:rsidP="009D75FE">
      <w:pPr>
        <w:widowControl w:val="0"/>
        <w:tabs>
          <w:tab w:val="left" w:pos="56"/>
        </w:tabs>
        <w:autoSpaceDE w:val="0"/>
        <w:autoSpaceDN w:val="0"/>
        <w:adjustRightInd w:val="0"/>
        <w:spacing w:line="264" w:lineRule="auto"/>
      </w:pPr>
    </w:p>
    <w:p w14:paraId="5F4D6CD1" w14:textId="77777777" w:rsidR="00AF406B" w:rsidRPr="000D7256" w:rsidRDefault="00AF406B" w:rsidP="009D75FE">
      <w:pPr>
        <w:widowControl w:val="0"/>
        <w:tabs>
          <w:tab w:val="left" w:pos="56"/>
        </w:tabs>
        <w:autoSpaceDE w:val="0"/>
        <w:autoSpaceDN w:val="0"/>
        <w:adjustRightInd w:val="0"/>
        <w:spacing w:line="264" w:lineRule="auto"/>
        <w:ind w:left="2694" w:hanging="2694"/>
        <w:jc w:val="both"/>
        <w:rPr>
          <w:b/>
          <w:bCs/>
          <w:color w:val="000000"/>
        </w:rPr>
      </w:pPr>
      <w:r w:rsidRPr="000D7256">
        <w:rPr>
          <w:b/>
          <w:bCs/>
          <w:color w:val="000000"/>
        </w:rPr>
        <w:t>Document(s) autorisé(s) :</w:t>
      </w:r>
      <w:r w:rsidRPr="000D7256">
        <w:rPr>
          <w:b/>
          <w:bCs/>
          <w:color w:val="000000"/>
        </w:rPr>
        <w:tab/>
      </w:r>
      <w:r w:rsidRPr="000D7256">
        <w:rPr>
          <w:b/>
          <w:bCs/>
          <w:i/>
          <w:iCs/>
          <w:color w:val="000000"/>
        </w:rPr>
        <w:t>Convention de Vienne sur le droit des traités</w:t>
      </w:r>
      <w:r w:rsidRPr="000D7256">
        <w:rPr>
          <w:b/>
          <w:bCs/>
          <w:color w:val="000000"/>
        </w:rPr>
        <w:t xml:space="preserve"> du 23 mai</w:t>
      </w:r>
      <w:r>
        <w:rPr>
          <w:b/>
          <w:bCs/>
          <w:color w:val="000000"/>
        </w:rPr>
        <w:t> </w:t>
      </w:r>
      <w:r w:rsidRPr="000D7256">
        <w:rPr>
          <w:b/>
          <w:bCs/>
          <w:color w:val="000000"/>
        </w:rPr>
        <w:t xml:space="preserve">1969. </w:t>
      </w:r>
    </w:p>
    <w:p w14:paraId="385484B0" w14:textId="4B4F4ACE" w:rsidR="00AF406B" w:rsidRPr="000D7256" w:rsidRDefault="00AF406B" w:rsidP="009D75FE">
      <w:pPr>
        <w:widowControl w:val="0"/>
        <w:tabs>
          <w:tab w:val="left" w:pos="56"/>
        </w:tabs>
        <w:autoSpaceDE w:val="0"/>
        <w:autoSpaceDN w:val="0"/>
        <w:adjustRightInd w:val="0"/>
        <w:spacing w:line="264" w:lineRule="auto"/>
        <w:ind w:left="2694" w:hanging="3540"/>
        <w:jc w:val="both"/>
        <w:rPr>
          <w:b/>
          <w:bCs/>
          <w:color w:val="000000"/>
        </w:rPr>
      </w:pPr>
      <w:r w:rsidRPr="000D7256">
        <w:rPr>
          <w:b/>
          <w:bCs/>
          <w:color w:val="000000"/>
        </w:rPr>
        <w:tab/>
      </w:r>
      <w:r w:rsidRPr="000D7256">
        <w:rPr>
          <w:b/>
          <w:bCs/>
          <w:color w:val="000000"/>
        </w:rPr>
        <w:tab/>
        <w:t>Dictionnaire de langue étrangère-français pour les étudiants non-scolarisés en France et dont le français n</w:t>
      </w:r>
      <w:r w:rsidR="003F30A8">
        <w:rPr>
          <w:b/>
          <w:bCs/>
          <w:color w:val="000000"/>
        </w:rPr>
        <w:t>’</w:t>
      </w:r>
      <w:r w:rsidRPr="000D7256">
        <w:rPr>
          <w:b/>
          <w:bCs/>
          <w:color w:val="000000"/>
        </w:rPr>
        <w:t>est pas la langue maternelle.</w:t>
      </w:r>
    </w:p>
    <w:p w14:paraId="3557B2A0" w14:textId="2CEE09C2" w:rsidR="00AF406B" w:rsidRDefault="00AF406B" w:rsidP="009D75FE">
      <w:pPr>
        <w:spacing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42F91AFD" w14:textId="77777777" w:rsidR="009D75FE" w:rsidRDefault="009D75FE" w:rsidP="009D75FE">
      <w:pPr>
        <w:spacing w:line="264" w:lineRule="auto"/>
        <w:jc w:val="center"/>
        <w:rPr>
          <w:rFonts w:ascii="Arial" w:hAnsi="Arial" w:cs="Arial"/>
          <w:i/>
          <w:sz w:val="22"/>
          <w:szCs w:val="22"/>
        </w:rPr>
      </w:pPr>
    </w:p>
    <w:p w14:paraId="1D7329F5" w14:textId="55907CCA" w:rsidR="00AF406B" w:rsidRPr="00DB7624" w:rsidRDefault="00AF406B" w:rsidP="009D75FE">
      <w:pPr>
        <w:spacing w:after="120" w:line="264" w:lineRule="auto"/>
        <w:jc w:val="center"/>
      </w:pPr>
      <w:r w:rsidRPr="00DB7624">
        <w:rPr>
          <w:i/>
          <w:sz w:val="22"/>
          <w:szCs w:val="22"/>
        </w:rPr>
        <w:t xml:space="preserve">Ce sujet comporte </w:t>
      </w:r>
      <w:r w:rsidR="0077218A" w:rsidRPr="00DB7624">
        <w:rPr>
          <w:i/>
          <w:sz w:val="22"/>
          <w:szCs w:val="22"/>
        </w:rPr>
        <w:t>4</w:t>
      </w:r>
      <w:r w:rsidRPr="00DB7624">
        <w:rPr>
          <w:i/>
          <w:sz w:val="22"/>
          <w:szCs w:val="22"/>
        </w:rPr>
        <w:t xml:space="preserve"> pages. Avant de composer, veuillez vérifier que votre sujet est complet.</w:t>
      </w:r>
    </w:p>
    <w:p w14:paraId="5B74DA78" w14:textId="77777777" w:rsidR="009D75FE" w:rsidRDefault="009D75FE" w:rsidP="009D75FE">
      <w:pPr>
        <w:spacing w:after="120" w:line="264" w:lineRule="auto"/>
        <w:jc w:val="center"/>
        <w:rPr>
          <w:sz w:val="22"/>
          <w:szCs w:val="22"/>
        </w:rPr>
      </w:pPr>
    </w:p>
    <w:p w14:paraId="661D638F" w14:textId="678459C5" w:rsidR="00AF406B" w:rsidRPr="00DB7624" w:rsidRDefault="00AF406B" w:rsidP="009D75FE">
      <w:pPr>
        <w:spacing w:after="120" w:line="264" w:lineRule="auto"/>
        <w:jc w:val="center"/>
        <w:rPr>
          <w:sz w:val="22"/>
          <w:szCs w:val="22"/>
        </w:rPr>
      </w:pPr>
      <w:r w:rsidRPr="00DB7624">
        <w:rPr>
          <w:sz w:val="22"/>
          <w:szCs w:val="22"/>
        </w:rPr>
        <w:t xml:space="preserve">Les étudiants traiteront, au choix, </w:t>
      </w:r>
      <w:r w:rsidRPr="00DB7624">
        <w:rPr>
          <w:b/>
          <w:bCs/>
          <w:sz w:val="22"/>
          <w:szCs w:val="22"/>
          <w:u w:val="single"/>
        </w:rPr>
        <w:t>l</w:t>
      </w:r>
      <w:r w:rsidR="003F30A8" w:rsidRPr="00DB7624">
        <w:rPr>
          <w:b/>
          <w:bCs/>
          <w:sz w:val="22"/>
          <w:szCs w:val="22"/>
          <w:u w:val="single"/>
        </w:rPr>
        <w:t>’</w:t>
      </w:r>
      <w:r w:rsidRPr="00DB7624">
        <w:rPr>
          <w:b/>
          <w:bCs/>
          <w:sz w:val="22"/>
          <w:szCs w:val="22"/>
          <w:u w:val="single"/>
        </w:rPr>
        <w:t>un</w:t>
      </w:r>
      <w:r w:rsidRPr="00DB7624">
        <w:rPr>
          <w:sz w:val="22"/>
          <w:szCs w:val="22"/>
        </w:rPr>
        <w:t xml:space="preserve"> des deux sujets suivants.</w:t>
      </w:r>
    </w:p>
    <w:p w14:paraId="58C213CF" w14:textId="77777777" w:rsidR="00AF406B" w:rsidRPr="003A2808" w:rsidRDefault="00AF406B" w:rsidP="009D75FE">
      <w:pPr>
        <w:spacing w:after="120" w:line="264" w:lineRule="auto"/>
        <w:rPr>
          <w:sz w:val="22"/>
          <w:szCs w:val="22"/>
        </w:rPr>
      </w:pPr>
    </w:p>
    <w:p w14:paraId="287ED673" w14:textId="77777777" w:rsidR="00AF406B" w:rsidRPr="003A2808" w:rsidRDefault="00AF406B" w:rsidP="009D75FE">
      <w:pPr>
        <w:spacing w:after="120" w:line="264" w:lineRule="auto"/>
        <w:jc w:val="center"/>
        <w:rPr>
          <w:b/>
          <w:bCs/>
          <w:i/>
          <w:iCs/>
          <w:sz w:val="22"/>
          <w:szCs w:val="22"/>
        </w:rPr>
      </w:pPr>
      <w:r w:rsidRPr="003A2808">
        <w:rPr>
          <w:b/>
          <w:bCs/>
          <w:i/>
          <w:iCs/>
          <w:sz w:val="22"/>
          <w:szCs w:val="22"/>
        </w:rPr>
        <w:t>Sujet n° 1 : Dissertation</w:t>
      </w:r>
    </w:p>
    <w:p w14:paraId="3D3C2200" w14:textId="77777777" w:rsidR="009D75FE" w:rsidRDefault="009D75FE" w:rsidP="009D75FE">
      <w:pPr>
        <w:widowControl w:val="0"/>
        <w:tabs>
          <w:tab w:val="left" w:pos="56"/>
        </w:tabs>
        <w:autoSpaceDE w:val="0"/>
        <w:autoSpaceDN w:val="0"/>
        <w:adjustRightInd w:val="0"/>
        <w:spacing w:after="120" w:line="264" w:lineRule="auto"/>
        <w:jc w:val="center"/>
      </w:pPr>
    </w:p>
    <w:p w14:paraId="56B047F8" w14:textId="20C19349" w:rsidR="00AE726E" w:rsidRDefault="00AF406B" w:rsidP="009D75FE">
      <w:pPr>
        <w:widowControl w:val="0"/>
        <w:tabs>
          <w:tab w:val="left" w:pos="56"/>
        </w:tabs>
        <w:autoSpaceDE w:val="0"/>
        <w:autoSpaceDN w:val="0"/>
        <w:adjustRightInd w:val="0"/>
        <w:spacing w:after="120" w:line="264" w:lineRule="auto"/>
        <w:jc w:val="center"/>
      </w:pPr>
      <w:r>
        <w:t>L</w:t>
      </w:r>
      <w:r w:rsidR="00ED2BBC">
        <w:t xml:space="preserve">es limitations </w:t>
      </w:r>
      <w:r w:rsidR="0077218A">
        <w:t>à</w:t>
      </w:r>
      <w:r w:rsidR="00ED2BBC">
        <w:t xml:space="preserve"> la</w:t>
      </w:r>
      <w:r>
        <w:t xml:space="preserve"> souveraineté étatique dans le droit international</w:t>
      </w:r>
    </w:p>
    <w:p w14:paraId="07B7D9DB" w14:textId="77777777" w:rsidR="00EF4891" w:rsidRDefault="00EF4891" w:rsidP="009D75FE">
      <w:pPr>
        <w:widowControl w:val="0"/>
        <w:tabs>
          <w:tab w:val="left" w:pos="56"/>
        </w:tabs>
        <w:autoSpaceDE w:val="0"/>
        <w:autoSpaceDN w:val="0"/>
        <w:adjustRightInd w:val="0"/>
        <w:spacing w:after="120" w:line="264" w:lineRule="auto"/>
        <w:jc w:val="center"/>
      </w:pPr>
    </w:p>
    <w:p w14:paraId="514F75D8" w14:textId="2407683F" w:rsidR="00AF406B" w:rsidRPr="003A2808" w:rsidRDefault="00AF406B" w:rsidP="009D75FE">
      <w:pPr>
        <w:spacing w:after="120" w:line="264" w:lineRule="auto"/>
        <w:jc w:val="center"/>
        <w:rPr>
          <w:b/>
          <w:bCs/>
          <w:i/>
          <w:iCs/>
          <w:sz w:val="22"/>
          <w:szCs w:val="22"/>
        </w:rPr>
      </w:pPr>
      <w:r w:rsidRPr="003A2808">
        <w:rPr>
          <w:b/>
          <w:bCs/>
          <w:i/>
          <w:iCs/>
          <w:sz w:val="22"/>
          <w:szCs w:val="22"/>
        </w:rPr>
        <w:t>Sujet n° 2 : Cas pratique (fictif)</w:t>
      </w:r>
    </w:p>
    <w:p w14:paraId="2BC96E86" w14:textId="77777777" w:rsidR="009D75FE" w:rsidRDefault="009D75FE" w:rsidP="009D75FE">
      <w:pPr>
        <w:spacing w:after="120" w:line="264" w:lineRule="auto"/>
        <w:jc w:val="both"/>
        <w:rPr>
          <w:sz w:val="22"/>
          <w:szCs w:val="22"/>
        </w:rPr>
      </w:pPr>
    </w:p>
    <w:p w14:paraId="36CA1350" w14:textId="21336C11" w:rsidR="00A90643" w:rsidRPr="00EF4891" w:rsidRDefault="00A90643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Le 19 juin 1999, les ministres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Education de </w:t>
      </w:r>
      <w:r w:rsidR="007910AF">
        <w:rPr>
          <w:sz w:val="22"/>
          <w:szCs w:val="22"/>
        </w:rPr>
        <w:t>vingt-neuf</w:t>
      </w:r>
      <w:r w:rsidRPr="00EF4891">
        <w:rPr>
          <w:sz w:val="22"/>
          <w:szCs w:val="22"/>
        </w:rPr>
        <w:t xml:space="preserve"> Etats européens ont signé à Bologne une déclaration pour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harmonisation des systèmes européens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enseignement supérieur, dont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objet était de faciliter la compréhension et la reconnaissance mutuelles des diplômes universitaires. Cette harmonisation s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est traduite par la mise en place de cursus universitaires comparables reposant sur deux cycles de formation et un cycle de recherche – ce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on a appelé la </w:t>
      </w:r>
      <w:r w:rsidRPr="00EF4891">
        <w:rPr>
          <w:i/>
          <w:iCs/>
          <w:sz w:val="22"/>
          <w:szCs w:val="22"/>
        </w:rPr>
        <w:t>réforme LMD</w:t>
      </w:r>
      <w:r w:rsidRPr="00EF4891">
        <w:rPr>
          <w:sz w:val="22"/>
          <w:szCs w:val="22"/>
        </w:rPr>
        <w:t xml:space="preserve"> (licence-master-doctorat). La déclaration de Bologne s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inspirait elle-même de la « </w:t>
      </w:r>
      <w:r w:rsidR="002804AC" w:rsidRPr="00EF4891">
        <w:rPr>
          <w:sz w:val="22"/>
          <w:szCs w:val="22"/>
        </w:rPr>
        <w:t>C</w:t>
      </w:r>
      <w:r w:rsidRPr="00EF4891">
        <w:rPr>
          <w:sz w:val="22"/>
          <w:szCs w:val="22"/>
        </w:rPr>
        <w:t>onvention sur la reconnaissance des qualifications relatives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enseignement supérieur dans la région européenne »</w:t>
      </w:r>
      <w:r w:rsidR="00126571" w:rsidRPr="00EF4891">
        <w:rPr>
          <w:sz w:val="22"/>
          <w:szCs w:val="22"/>
        </w:rPr>
        <w:t xml:space="preserve"> (</w:t>
      </w:r>
      <w:r w:rsidR="00126571" w:rsidRPr="00EF4891">
        <w:rPr>
          <w:i/>
          <w:iCs/>
          <w:sz w:val="22"/>
          <w:szCs w:val="22"/>
        </w:rPr>
        <w:t xml:space="preserve">ci-après </w:t>
      </w:r>
      <w:r w:rsidR="00126571" w:rsidRPr="00EF4891">
        <w:rPr>
          <w:sz w:val="22"/>
          <w:szCs w:val="22"/>
        </w:rPr>
        <w:t>« </w:t>
      </w:r>
      <w:r w:rsidR="00126571" w:rsidRPr="00EF4891">
        <w:rPr>
          <w:i/>
          <w:iCs/>
          <w:sz w:val="22"/>
          <w:szCs w:val="22"/>
        </w:rPr>
        <w:t>Convention européenne</w:t>
      </w:r>
      <w:r w:rsidR="00126571" w:rsidRPr="00EF4891">
        <w:rPr>
          <w:sz w:val="22"/>
          <w:szCs w:val="22"/>
        </w:rPr>
        <w:t> »</w:t>
      </w:r>
      <w:r w:rsidR="004420D6">
        <w:rPr>
          <w:sz w:val="22"/>
          <w:szCs w:val="22"/>
        </w:rPr>
        <w:t xml:space="preserve">, </w:t>
      </w:r>
      <w:r w:rsidR="004420D6">
        <w:rPr>
          <w:i/>
          <w:iCs/>
          <w:sz w:val="22"/>
          <w:szCs w:val="22"/>
        </w:rPr>
        <w:t>cf. annexe 1</w:t>
      </w:r>
      <w:r w:rsidR="00126571" w:rsidRPr="00EF4891">
        <w:rPr>
          <w:sz w:val="22"/>
          <w:szCs w:val="22"/>
        </w:rPr>
        <w:t>)</w:t>
      </w:r>
      <w:r w:rsidRPr="00EF4891">
        <w:rPr>
          <w:sz w:val="22"/>
          <w:szCs w:val="22"/>
        </w:rPr>
        <w:t>, élaborée par le Conseil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Europe et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UNESCO et signée à Lisbonne le 11 avril 1997.</w:t>
      </w:r>
    </w:p>
    <w:p w14:paraId="0126CEE3" w14:textId="130571BD" w:rsidR="002804AC" w:rsidRPr="00EF4891" w:rsidRDefault="00E737BB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La Turquie a déposé son instrument de signature</w:t>
      </w:r>
      <w:r w:rsidR="00EE0641" w:rsidRPr="00EF4891">
        <w:rPr>
          <w:sz w:val="22"/>
          <w:szCs w:val="22"/>
        </w:rPr>
        <w:t xml:space="preserve"> à ladite </w:t>
      </w:r>
      <w:r w:rsidR="00EE0641" w:rsidRPr="00AF20DA">
        <w:rPr>
          <w:i/>
          <w:iCs/>
          <w:sz w:val="22"/>
          <w:szCs w:val="22"/>
        </w:rPr>
        <w:t>Convention européenne</w:t>
      </w:r>
      <w:r w:rsidRPr="00EF4891">
        <w:rPr>
          <w:sz w:val="22"/>
          <w:szCs w:val="22"/>
        </w:rPr>
        <w:t xml:space="preserve"> le 1</w:t>
      </w:r>
      <w:r w:rsidRPr="00EF4891">
        <w:rPr>
          <w:sz w:val="22"/>
          <w:szCs w:val="22"/>
          <w:vertAlign w:val="superscript"/>
        </w:rPr>
        <w:t>er</w:t>
      </w:r>
      <w:r w:rsidR="00EE0641" w:rsidRPr="00EF4891">
        <w:rPr>
          <w:sz w:val="22"/>
          <w:szCs w:val="22"/>
        </w:rPr>
        <w:t> </w:t>
      </w:r>
      <w:r w:rsidRPr="00EF4891">
        <w:rPr>
          <w:sz w:val="22"/>
          <w:szCs w:val="22"/>
        </w:rPr>
        <w:t>décembre 2004 et son instrument de ratification le 8 janvier 2007. Dans</w:t>
      </w:r>
      <w:r w:rsidR="002804AC" w:rsidRPr="00EF4891">
        <w:rPr>
          <w:sz w:val="22"/>
          <w:szCs w:val="22"/>
        </w:rPr>
        <w:t xml:space="preserve"> une lettre en date du 13 février 2007, </w:t>
      </w:r>
      <w:r w:rsidR="002804AC" w:rsidRPr="00EF4891">
        <w:rPr>
          <w:sz w:val="22"/>
          <w:szCs w:val="22"/>
        </w:rPr>
        <w:lastRenderedPageBreak/>
        <w:t>enregistrée au Secrétariat du Conseil de l</w:t>
      </w:r>
      <w:r w:rsidR="003F30A8">
        <w:rPr>
          <w:sz w:val="22"/>
          <w:szCs w:val="22"/>
        </w:rPr>
        <w:t>’</w:t>
      </w:r>
      <w:r w:rsidR="002804AC" w:rsidRPr="00EF4891">
        <w:rPr>
          <w:sz w:val="22"/>
          <w:szCs w:val="22"/>
        </w:rPr>
        <w:t xml:space="preserve">Europe, </w:t>
      </w:r>
      <w:r w:rsidRPr="00EF4891">
        <w:rPr>
          <w:sz w:val="22"/>
          <w:szCs w:val="22"/>
        </w:rPr>
        <w:t>le</w:t>
      </w:r>
      <w:r w:rsidR="002804AC" w:rsidRPr="00EF4891">
        <w:rPr>
          <w:sz w:val="22"/>
          <w:szCs w:val="22"/>
        </w:rPr>
        <w:t xml:space="preserve"> Représentant Permanent adjoint de la Turquie</w:t>
      </w:r>
      <w:r w:rsidRPr="00EF4891">
        <w:rPr>
          <w:sz w:val="22"/>
          <w:szCs w:val="22"/>
        </w:rPr>
        <w:t xml:space="preserve"> </w:t>
      </w:r>
      <w:r w:rsidR="00EE0641" w:rsidRPr="00EF4891">
        <w:rPr>
          <w:sz w:val="22"/>
          <w:szCs w:val="22"/>
        </w:rPr>
        <w:t>auprès du Conseil de l</w:t>
      </w:r>
      <w:r w:rsidR="003F30A8">
        <w:rPr>
          <w:sz w:val="22"/>
          <w:szCs w:val="22"/>
        </w:rPr>
        <w:t>’</w:t>
      </w:r>
      <w:r w:rsidR="00EE0641" w:rsidRPr="00EF4891">
        <w:rPr>
          <w:sz w:val="22"/>
          <w:szCs w:val="22"/>
        </w:rPr>
        <w:t xml:space="preserve">Europe et plénipotentiaire, </w:t>
      </w:r>
      <w:r w:rsidRPr="00EF4891">
        <w:rPr>
          <w:sz w:val="22"/>
          <w:szCs w:val="22"/>
        </w:rPr>
        <w:t>a indiqué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autorité compétente pour prendre les différents types de décision en matière de reconnaissance</w:t>
      </w:r>
      <w:r w:rsidR="002804AC" w:rsidRPr="00EF4891">
        <w:rPr>
          <w:sz w:val="22"/>
          <w:szCs w:val="22"/>
        </w:rPr>
        <w:t>. Cette déclaration a été complétée par une communication de la Représentation Permanente de la Turquie en date du 20 février 2007 au Conseil de l</w:t>
      </w:r>
      <w:r w:rsidR="003F30A8">
        <w:rPr>
          <w:sz w:val="22"/>
          <w:szCs w:val="22"/>
        </w:rPr>
        <w:t>’</w:t>
      </w:r>
      <w:r w:rsidR="002804AC" w:rsidRPr="00EF4891">
        <w:rPr>
          <w:sz w:val="22"/>
          <w:szCs w:val="22"/>
        </w:rPr>
        <w:t>Europe. Cette déclaration se lit comme suit dans sa traduction française :</w:t>
      </w:r>
    </w:p>
    <w:p w14:paraId="26577390" w14:textId="51A0E1C3" w:rsidR="00A90643" w:rsidRPr="00EF4891" w:rsidRDefault="002804AC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« La Représentation Permanente de la Turquie déclare que, suite à une erreur administrative, la réserve suivante communiquée au Secrétariat après le dépôt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instrument de ratification de la Convention doit être considérée comme déposée simultanément avec ledit instrument : Conformément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article XI.7 de la Convention, le Gouvernement de la République de Turquie n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est pas lié par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article</w:t>
      </w:r>
      <w:r w:rsidR="007910AF">
        <w:rPr>
          <w:sz w:val="22"/>
          <w:szCs w:val="22"/>
        </w:rPr>
        <w:t> </w:t>
      </w:r>
      <w:r w:rsidRPr="00EF4891">
        <w:rPr>
          <w:sz w:val="22"/>
          <w:szCs w:val="22"/>
        </w:rPr>
        <w:t>IV.8. »</w:t>
      </w:r>
    </w:p>
    <w:p w14:paraId="46B87CA2" w14:textId="5D7CF47E" w:rsidR="00D15828" w:rsidRPr="00EF4891" w:rsidRDefault="00D15828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Aucun Etat n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 fait une objection à cette déclaration.</w:t>
      </w:r>
    </w:p>
    <w:p w14:paraId="2DBC0BF2" w14:textId="2B74D877" w:rsidR="00E737BB" w:rsidRPr="00EF4891" w:rsidRDefault="00E737BB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proofErr w:type="spellStart"/>
      <w:r w:rsidRPr="00EF4891">
        <w:rPr>
          <w:sz w:val="22"/>
          <w:szCs w:val="22"/>
        </w:rPr>
        <w:t>Mendyssa</w:t>
      </w:r>
      <w:proofErr w:type="spellEnd"/>
      <w:r w:rsidRPr="00EF4891">
        <w:rPr>
          <w:sz w:val="22"/>
          <w:szCs w:val="22"/>
        </w:rPr>
        <w:t>, ressortissante française</w:t>
      </w:r>
      <w:r w:rsidR="00D15828" w:rsidRPr="00EF4891">
        <w:rPr>
          <w:sz w:val="22"/>
          <w:szCs w:val="22"/>
        </w:rPr>
        <w:t xml:space="preserve"> car née en France</w:t>
      </w:r>
      <w:r w:rsidRPr="00EF4891">
        <w:rPr>
          <w:sz w:val="22"/>
          <w:szCs w:val="22"/>
        </w:rPr>
        <w:t>, souhaite faire ses études</w:t>
      </w:r>
      <w:r w:rsidR="00876CD8" w:rsidRPr="00EF4891">
        <w:rPr>
          <w:sz w:val="22"/>
          <w:szCs w:val="22"/>
        </w:rPr>
        <w:t xml:space="preserve"> de philosophie </w:t>
      </w:r>
      <w:r w:rsidRPr="00EF4891">
        <w:rPr>
          <w:sz w:val="22"/>
          <w:szCs w:val="22"/>
        </w:rPr>
        <w:t xml:space="preserve">à Istanbul. </w:t>
      </w:r>
      <w:r w:rsidR="00876CD8" w:rsidRPr="00EF4891">
        <w:rPr>
          <w:sz w:val="22"/>
          <w:szCs w:val="22"/>
        </w:rPr>
        <w:t>Elle n</w:t>
      </w:r>
      <w:r w:rsidR="003F30A8">
        <w:rPr>
          <w:sz w:val="22"/>
          <w:szCs w:val="22"/>
        </w:rPr>
        <w:t>’</w:t>
      </w:r>
      <w:r w:rsidR="00876CD8" w:rsidRPr="00EF4891">
        <w:rPr>
          <w:sz w:val="22"/>
          <w:szCs w:val="22"/>
        </w:rPr>
        <w:t xml:space="preserve">a pas obtenu le baccalauréat en France, mais </w:t>
      </w:r>
      <w:r w:rsidR="00126571" w:rsidRPr="00EF4891">
        <w:rPr>
          <w:sz w:val="22"/>
          <w:szCs w:val="22"/>
        </w:rPr>
        <w:t>un diplôme équivalent en Allemagne, non traditionnel, délivré par une école Waldorf, école anthroposophique</w:t>
      </w:r>
      <w:r w:rsidR="007910AF">
        <w:rPr>
          <w:sz w:val="22"/>
          <w:szCs w:val="22"/>
        </w:rPr>
        <w:t> : a</w:t>
      </w:r>
      <w:r w:rsidR="00D15828" w:rsidRPr="00EF4891">
        <w:rPr>
          <w:sz w:val="22"/>
          <w:szCs w:val="22"/>
        </w:rPr>
        <w:t>près 16 ans en France à Toulouse, elle a passé ses dernières années d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école en Allemagne</w:t>
      </w:r>
      <w:r w:rsidR="00126571" w:rsidRPr="00EF4891">
        <w:rPr>
          <w:sz w:val="22"/>
          <w:szCs w:val="22"/>
        </w:rPr>
        <w:t>. A la fois la France et l</w:t>
      </w:r>
      <w:r w:rsidR="003F30A8">
        <w:rPr>
          <w:sz w:val="22"/>
          <w:szCs w:val="22"/>
        </w:rPr>
        <w:t>’</w:t>
      </w:r>
      <w:r w:rsidR="00126571" w:rsidRPr="00EF4891">
        <w:rPr>
          <w:sz w:val="22"/>
          <w:szCs w:val="22"/>
        </w:rPr>
        <w:t>Allemagne sont parties à la Convention. Lorsqu</w:t>
      </w:r>
      <w:r w:rsidR="003F30A8">
        <w:rPr>
          <w:sz w:val="22"/>
          <w:szCs w:val="22"/>
        </w:rPr>
        <w:t>’</w:t>
      </w:r>
      <w:r w:rsidR="00126571" w:rsidRPr="00EF4891">
        <w:rPr>
          <w:sz w:val="22"/>
          <w:szCs w:val="22"/>
        </w:rPr>
        <w:t>elle souhaite s</w:t>
      </w:r>
      <w:r w:rsidR="003F30A8">
        <w:rPr>
          <w:sz w:val="22"/>
          <w:szCs w:val="22"/>
        </w:rPr>
        <w:t>’</w:t>
      </w:r>
      <w:r w:rsidR="00126571" w:rsidRPr="00EF4891">
        <w:rPr>
          <w:sz w:val="22"/>
          <w:szCs w:val="22"/>
        </w:rPr>
        <w:t>inscrire à l</w:t>
      </w:r>
      <w:r w:rsidR="003F30A8">
        <w:rPr>
          <w:sz w:val="22"/>
          <w:szCs w:val="22"/>
        </w:rPr>
        <w:t>’</w:t>
      </w:r>
      <w:r w:rsidR="00126571" w:rsidRPr="00EF4891">
        <w:rPr>
          <w:sz w:val="22"/>
          <w:szCs w:val="22"/>
        </w:rPr>
        <w:t xml:space="preserve">université </w:t>
      </w:r>
      <w:r w:rsidR="00D15828" w:rsidRPr="00EF4891">
        <w:rPr>
          <w:sz w:val="22"/>
          <w:szCs w:val="22"/>
        </w:rPr>
        <w:t>d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Istanbul, on lui refuse l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inscription au motif qu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elle n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aurait pas de diplôme équivalent au baccalauréat turque, alors qu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elle a l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 xml:space="preserve">équivalent de 19/20 en moyenne. </w:t>
      </w:r>
      <w:r w:rsidR="00ED2BBC" w:rsidRPr="00EF4891">
        <w:rPr>
          <w:sz w:val="22"/>
          <w:szCs w:val="22"/>
        </w:rPr>
        <w:t>En parallèle de saisir les juridictions turques</w:t>
      </w:r>
      <w:r w:rsidR="00D15828" w:rsidRPr="00EF4891">
        <w:rPr>
          <w:sz w:val="22"/>
          <w:szCs w:val="22"/>
        </w:rPr>
        <w:t>, elle demande à la France d</w:t>
      </w:r>
      <w:r w:rsidR="003F30A8">
        <w:rPr>
          <w:sz w:val="22"/>
          <w:szCs w:val="22"/>
        </w:rPr>
        <w:t>’</w:t>
      </w:r>
      <w:r w:rsidR="00D15828" w:rsidRPr="00EF4891">
        <w:rPr>
          <w:sz w:val="22"/>
          <w:szCs w:val="22"/>
        </w:rPr>
        <w:t>exercer sa protection diplomatique contre la Turquie.</w:t>
      </w:r>
    </w:p>
    <w:p w14:paraId="735D02FC" w14:textId="24E64316" w:rsidR="00AF20DA" w:rsidRDefault="002A5456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Le Saint-Siège délivre pour sa part aussi des diplômes de l</w:t>
      </w:r>
      <w:r w:rsidR="003F30A8">
        <w:rPr>
          <w:sz w:val="22"/>
          <w:szCs w:val="22"/>
        </w:rPr>
        <w:t>’</w:t>
      </w:r>
      <w:r>
        <w:rPr>
          <w:sz w:val="22"/>
          <w:szCs w:val="22"/>
        </w:rPr>
        <w:t>enseignement supérieur. Par un traité signé le 11 février 1929 au palais du Latran entre le cardinal Gasparri, secrétaire d</w:t>
      </w:r>
      <w:r w:rsidR="003F30A8">
        <w:rPr>
          <w:sz w:val="22"/>
          <w:szCs w:val="22"/>
        </w:rPr>
        <w:t>’</w:t>
      </w:r>
      <w:r>
        <w:rPr>
          <w:sz w:val="22"/>
          <w:szCs w:val="22"/>
        </w:rPr>
        <w:t>Etat de Pie XI et Benito Mussolini pour le gouvernement italien, l</w:t>
      </w:r>
      <w:r w:rsidR="003F30A8">
        <w:rPr>
          <w:sz w:val="22"/>
          <w:szCs w:val="22"/>
        </w:rPr>
        <w:t>’</w:t>
      </w:r>
      <w:r>
        <w:rPr>
          <w:sz w:val="22"/>
          <w:szCs w:val="22"/>
        </w:rPr>
        <w:t>Italie a accordé la pleine propriété de la Cité du Vatican au Saint-Siège, à savoir un territoire d</w:t>
      </w:r>
      <w:r w:rsidR="003F30A8">
        <w:rPr>
          <w:sz w:val="22"/>
          <w:szCs w:val="22"/>
        </w:rPr>
        <w:t>’</w:t>
      </w:r>
      <w:r w:rsidR="00AF20DA">
        <w:rPr>
          <w:sz w:val="22"/>
          <w:szCs w:val="22"/>
        </w:rPr>
        <w:t>environ</w:t>
      </w:r>
      <w:r>
        <w:rPr>
          <w:sz w:val="22"/>
          <w:szCs w:val="22"/>
        </w:rPr>
        <w:t xml:space="preserve"> quarante-quatre hectares. Par </w:t>
      </w:r>
      <w:r w:rsidR="00AF20DA">
        <w:rPr>
          <w:sz w:val="22"/>
          <w:szCs w:val="22"/>
        </w:rPr>
        <w:t>cet accord,</w:t>
      </w:r>
      <w:r>
        <w:rPr>
          <w:sz w:val="22"/>
          <w:szCs w:val="22"/>
        </w:rPr>
        <w:t xml:space="preserve"> l</w:t>
      </w:r>
      <w:r w:rsidR="003F30A8">
        <w:rPr>
          <w:sz w:val="22"/>
          <w:szCs w:val="22"/>
        </w:rPr>
        <w:t>’</w:t>
      </w:r>
      <w:r>
        <w:rPr>
          <w:sz w:val="22"/>
          <w:szCs w:val="22"/>
        </w:rPr>
        <w:t xml:space="preserve">Italie a officiellement reconnu au Pape un double pouvoir : spirituel </w:t>
      </w:r>
      <w:r w:rsidR="00AF20DA">
        <w:rPr>
          <w:sz w:val="22"/>
          <w:szCs w:val="22"/>
        </w:rPr>
        <w:t>dans la mesure où il est à la tête de l</w:t>
      </w:r>
      <w:r w:rsidR="003F30A8">
        <w:rPr>
          <w:sz w:val="22"/>
          <w:szCs w:val="22"/>
        </w:rPr>
        <w:t>’</w:t>
      </w:r>
      <w:r w:rsidR="00AF20DA">
        <w:rPr>
          <w:sz w:val="22"/>
          <w:szCs w:val="22"/>
        </w:rPr>
        <w:t xml:space="preserve">église catholique </w:t>
      </w:r>
      <w:r>
        <w:rPr>
          <w:sz w:val="22"/>
          <w:szCs w:val="22"/>
        </w:rPr>
        <w:t>et temporel en tant que chef d</w:t>
      </w:r>
      <w:r w:rsidR="003F30A8">
        <w:rPr>
          <w:sz w:val="22"/>
          <w:szCs w:val="22"/>
        </w:rPr>
        <w:t>’</w:t>
      </w:r>
      <w:r>
        <w:rPr>
          <w:sz w:val="22"/>
          <w:szCs w:val="22"/>
        </w:rPr>
        <w:t xml:space="preserve">Etat. Ce </w:t>
      </w:r>
      <w:r w:rsidR="00AF20DA">
        <w:rPr>
          <w:sz w:val="22"/>
          <w:szCs w:val="22"/>
        </w:rPr>
        <w:t xml:space="preserve">dernier </w:t>
      </w:r>
      <w:r>
        <w:rPr>
          <w:sz w:val="22"/>
          <w:szCs w:val="22"/>
        </w:rPr>
        <w:t xml:space="preserve">pouvoir est absolu à la fois au niveau exécutif, législatif et judiciaire. </w:t>
      </w:r>
      <w:r w:rsidR="00AF20DA">
        <w:rPr>
          <w:sz w:val="22"/>
          <w:szCs w:val="22"/>
        </w:rPr>
        <w:t>Aujourd</w:t>
      </w:r>
      <w:r w:rsidR="003F30A8">
        <w:rPr>
          <w:sz w:val="22"/>
          <w:szCs w:val="22"/>
        </w:rPr>
        <w:t>’</w:t>
      </w:r>
      <w:r w:rsidR="00AF20DA">
        <w:rPr>
          <w:sz w:val="22"/>
          <w:szCs w:val="22"/>
        </w:rPr>
        <w:t>hui, l</w:t>
      </w:r>
      <w:r w:rsidR="00CC0E6A">
        <w:rPr>
          <w:sz w:val="22"/>
          <w:szCs w:val="22"/>
        </w:rPr>
        <w:t>a Cité du Vatican</w:t>
      </w:r>
      <w:r w:rsidR="00AF20DA">
        <w:rPr>
          <w:sz w:val="22"/>
          <w:szCs w:val="22"/>
        </w:rPr>
        <w:t xml:space="preserve"> compte une population d</w:t>
      </w:r>
      <w:r w:rsidR="003F30A8">
        <w:rPr>
          <w:sz w:val="22"/>
          <w:szCs w:val="22"/>
        </w:rPr>
        <w:t>’</w:t>
      </w:r>
      <w:r w:rsidR="00AF20DA">
        <w:rPr>
          <w:sz w:val="22"/>
          <w:szCs w:val="22"/>
        </w:rPr>
        <w:t>un peu plus de 800</w:t>
      </w:r>
      <w:r w:rsidR="00CC0E6A">
        <w:rPr>
          <w:sz w:val="22"/>
          <w:szCs w:val="22"/>
        </w:rPr>
        <w:t> </w:t>
      </w:r>
      <w:r w:rsidR="00AF20DA">
        <w:rPr>
          <w:sz w:val="22"/>
          <w:szCs w:val="22"/>
        </w:rPr>
        <w:t xml:space="preserve">personnes. </w:t>
      </w:r>
    </w:p>
    <w:p w14:paraId="0153AF4B" w14:textId="1EF99B0C" w:rsidR="00A90643" w:rsidRPr="00C129CD" w:rsidRDefault="00A90643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C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est dans </w:t>
      </w:r>
      <w:r w:rsidR="0041196C" w:rsidRPr="00EF4891">
        <w:rPr>
          <w:sz w:val="22"/>
          <w:szCs w:val="22"/>
        </w:rPr>
        <w:t>l</w:t>
      </w:r>
      <w:r w:rsidR="00AF20DA">
        <w:rPr>
          <w:sz w:val="22"/>
          <w:szCs w:val="22"/>
        </w:rPr>
        <w:t>a continuité du processus de Bologne et de l</w:t>
      </w:r>
      <w:r w:rsidR="003F30A8">
        <w:rPr>
          <w:sz w:val="22"/>
          <w:szCs w:val="22"/>
        </w:rPr>
        <w:t>’</w:t>
      </w:r>
      <w:r w:rsidR="00AF20DA">
        <w:rPr>
          <w:sz w:val="22"/>
          <w:szCs w:val="22"/>
        </w:rPr>
        <w:t xml:space="preserve">adoption de la </w:t>
      </w:r>
      <w:r w:rsidR="00AF20DA">
        <w:rPr>
          <w:i/>
          <w:iCs/>
          <w:sz w:val="22"/>
          <w:szCs w:val="22"/>
        </w:rPr>
        <w:t xml:space="preserve">Convention européenne </w:t>
      </w:r>
      <w:r w:rsidR="00AF20DA">
        <w:rPr>
          <w:sz w:val="22"/>
          <w:szCs w:val="22"/>
        </w:rPr>
        <w:t xml:space="preserve">susmentionnée </w:t>
      </w:r>
      <w:r w:rsidRPr="00EF4891">
        <w:rPr>
          <w:sz w:val="22"/>
          <w:szCs w:val="22"/>
        </w:rPr>
        <w:t>que la République Française et le Saint-Siège ont signé le 18 décembre 2008 à Paris un accord sur la reconnaissance des grades et diplômes dans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enseignement supérieur</w:t>
      </w:r>
      <w:r w:rsidR="00C129CD">
        <w:rPr>
          <w:sz w:val="22"/>
          <w:szCs w:val="22"/>
        </w:rPr>
        <w:t xml:space="preserve"> (ci-après « l</w:t>
      </w:r>
      <w:r w:rsidR="003F30A8">
        <w:rPr>
          <w:sz w:val="22"/>
          <w:szCs w:val="22"/>
        </w:rPr>
        <w:t>’</w:t>
      </w:r>
      <w:r w:rsidR="00C129CD">
        <w:rPr>
          <w:sz w:val="22"/>
          <w:szCs w:val="22"/>
        </w:rPr>
        <w:t>accord »)</w:t>
      </w:r>
      <w:r w:rsidRPr="00EF4891">
        <w:rPr>
          <w:sz w:val="22"/>
          <w:szCs w:val="22"/>
        </w:rPr>
        <w:t>, assorti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 protocole additionnel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application. La France avait déjà conclu des accords bilatéraux de ce type, par exemple avec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Espagne (accord de Gérone du 16 novembre 2006 publié par le décret n° 2008-34 du 10 janvier 2008) ou encore la Pologne (accord de Varsovie du 28 mai 2008 publié par le décret n° 2009-652 du 9 juin 2009).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accord a été signé, pour la France, par le ministre des affaires étrangères et, pour le Saint-Siège, par le secrétaire pour les relations avec les Etats. Il n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 pas fait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objet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une loi autorisant la ratification</w:t>
      </w:r>
      <w:r w:rsidR="00AF20DA">
        <w:rPr>
          <w:sz w:val="22"/>
          <w:szCs w:val="22"/>
        </w:rPr>
        <w:t xml:space="preserve"> en France</w:t>
      </w:r>
      <w:r w:rsidRPr="00EF4891">
        <w:rPr>
          <w:sz w:val="22"/>
          <w:szCs w:val="22"/>
        </w:rPr>
        <w:t>. Des associations, des syndicats et des particuliers</w:t>
      </w:r>
      <w:r w:rsidR="00CC0E6A">
        <w:rPr>
          <w:sz w:val="22"/>
          <w:szCs w:val="22"/>
        </w:rPr>
        <w:t xml:space="preserve">, </w:t>
      </w:r>
      <w:r w:rsidR="00C129CD">
        <w:rPr>
          <w:sz w:val="22"/>
          <w:szCs w:val="22"/>
        </w:rPr>
        <w:t>qui s</w:t>
      </w:r>
      <w:r w:rsidR="003F30A8">
        <w:rPr>
          <w:sz w:val="22"/>
          <w:szCs w:val="22"/>
        </w:rPr>
        <w:t>’</w:t>
      </w:r>
      <w:r w:rsidR="00C129CD">
        <w:rPr>
          <w:sz w:val="22"/>
          <w:szCs w:val="22"/>
        </w:rPr>
        <w:t>inquiètent d</w:t>
      </w:r>
      <w:r w:rsidR="003F30A8">
        <w:rPr>
          <w:sz w:val="22"/>
          <w:szCs w:val="22"/>
        </w:rPr>
        <w:t>’</w:t>
      </w:r>
      <w:r w:rsidR="00C129CD">
        <w:rPr>
          <w:sz w:val="22"/>
          <w:szCs w:val="22"/>
        </w:rPr>
        <w:t xml:space="preserve">une mise en péril </w:t>
      </w:r>
      <w:r w:rsidR="00CC0E6A">
        <w:rPr>
          <w:sz w:val="22"/>
          <w:szCs w:val="22"/>
        </w:rPr>
        <w:t>du principe de laïcité en France,</w:t>
      </w:r>
      <w:r w:rsidRPr="00EF4891">
        <w:rPr>
          <w:sz w:val="22"/>
          <w:szCs w:val="22"/>
        </w:rPr>
        <w:t xml:space="preserve"> demandent au Conseil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Etat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annuler le décret </w:t>
      </w:r>
      <w:r w:rsidR="003F30A8">
        <w:rPr>
          <w:sz w:val="22"/>
          <w:szCs w:val="22"/>
        </w:rPr>
        <w:t xml:space="preserve">n° 2009-427 </w:t>
      </w:r>
      <w:r w:rsidRPr="00EF4891">
        <w:rPr>
          <w:sz w:val="22"/>
          <w:szCs w:val="22"/>
        </w:rPr>
        <w:t>du 16 avril 2009 publiant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accord entre la France et le Saint-Siège. </w:t>
      </w:r>
      <w:r w:rsidR="00C129CD">
        <w:rPr>
          <w:sz w:val="22"/>
          <w:szCs w:val="22"/>
        </w:rPr>
        <w:t>Ils s</w:t>
      </w:r>
      <w:r w:rsidR="003F30A8">
        <w:rPr>
          <w:sz w:val="22"/>
          <w:szCs w:val="22"/>
        </w:rPr>
        <w:t>’</w:t>
      </w:r>
      <w:r w:rsidR="00C129CD">
        <w:rPr>
          <w:sz w:val="22"/>
          <w:szCs w:val="22"/>
        </w:rPr>
        <w:t>interrogent sur la compatibilité de l</w:t>
      </w:r>
      <w:r w:rsidR="003F30A8">
        <w:rPr>
          <w:sz w:val="22"/>
          <w:szCs w:val="22"/>
        </w:rPr>
        <w:t>’</w:t>
      </w:r>
      <w:r w:rsidR="00C129CD">
        <w:rPr>
          <w:sz w:val="22"/>
          <w:szCs w:val="22"/>
        </w:rPr>
        <w:t xml:space="preserve">accord avec notamment la </w:t>
      </w:r>
      <w:r w:rsidR="00C129CD">
        <w:rPr>
          <w:i/>
          <w:iCs/>
          <w:sz w:val="22"/>
          <w:szCs w:val="22"/>
        </w:rPr>
        <w:t xml:space="preserve">Convention européenne </w:t>
      </w:r>
      <w:r w:rsidR="00C129CD">
        <w:rPr>
          <w:sz w:val="22"/>
          <w:szCs w:val="22"/>
        </w:rPr>
        <w:t>susmentionnée.</w:t>
      </w:r>
    </w:p>
    <w:p w14:paraId="7DD888A9" w14:textId="0E4FAB57" w:rsidR="00A90643" w:rsidRDefault="00A90643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Les requérants se réfèrent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article 34 de la Constitution </w:t>
      </w:r>
      <w:r w:rsidR="00C129CD">
        <w:rPr>
          <w:sz w:val="22"/>
          <w:szCs w:val="22"/>
        </w:rPr>
        <w:t xml:space="preserve">française, </w:t>
      </w:r>
      <w:r w:rsidRPr="00EF4891">
        <w:rPr>
          <w:sz w:val="22"/>
          <w:szCs w:val="22"/>
        </w:rPr>
        <w:t>selon lequel « [l]a loi détermine les principes fondamentaux (…)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enseignement ». Selon son article 1</w:t>
      </w:r>
      <w:r w:rsidRPr="00EF4891">
        <w:rPr>
          <w:sz w:val="22"/>
          <w:szCs w:val="22"/>
          <w:vertAlign w:val="superscript"/>
        </w:rPr>
        <w:t>er</w:t>
      </w:r>
      <w:r w:rsidRPr="00EF4891">
        <w:rPr>
          <w:sz w:val="22"/>
          <w:szCs w:val="22"/>
        </w:rPr>
        <w:t>,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accord a notamment pour objet « la lisibilité des grades et diplômes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enseignement supérieur délivrés sous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autorité compétente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une des parties par une autorité compétente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autre partie ».</w:t>
      </w:r>
      <w:r w:rsidR="00EE0641" w:rsidRPr="00EF4891">
        <w:rPr>
          <w:sz w:val="22"/>
          <w:szCs w:val="22"/>
        </w:rPr>
        <w:t xml:space="preserve"> </w:t>
      </w:r>
    </w:p>
    <w:p w14:paraId="52FC320A" w14:textId="77777777" w:rsidR="00542EDA" w:rsidRDefault="00542EDA" w:rsidP="009D75FE">
      <w:pPr>
        <w:spacing w:after="120" w:line="264" w:lineRule="auto"/>
        <w:ind w:firstLine="567"/>
        <w:jc w:val="both"/>
        <w:rPr>
          <w:sz w:val="22"/>
          <w:szCs w:val="22"/>
        </w:rPr>
      </w:pPr>
    </w:p>
    <w:p w14:paraId="216CE5D3" w14:textId="4406C68F" w:rsidR="009D75FE" w:rsidRPr="00EF4891" w:rsidRDefault="009D75FE" w:rsidP="009D75FE">
      <w:pPr>
        <w:spacing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 vous est demandé en tant que stagiaire au Ministère de l’Europe et des affaires étrangères de répondre aux questions suivantes :</w:t>
      </w:r>
    </w:p>
    <w:p w14:paraId="244F4F1F" w14:textId="78859B11" w:rsidR="00D15828" w:rsidRPr="0077218A" w:rsidRDefault="00D15828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F4891">
        <w:rPr>
          <w:rFonts w:ascii="Times New Roman" w:hAnsi="Times New Roman" w:cs="Times New Roman"/>
        </w:rPr>
        <w:t>Est-ce que, au regard du droit international, la France peut exercer sa protection diplomatique à l</w:t>
      </w:r>
      <w:r w:rsidR="003F30A8">
        <w:rPr>
          <w:rFonts w:ascii="Times New Roman" w:hAnsi="Times New Roman" w:cs="Times New Roman"/>
        </w:rPr>
        <w:t>’</w:t>
      </w:r>
      <w:r w:rsidRPr="00EF4891">
        <w:rPr>
          <w:rFonts w:ascii="Times New Roman" w:hAnsi="Times New Roman" w:cs="Times New Roman"/>
        </w:rPr>
        <w:t xml:space="preserve">égard de </w:t>
      </w:r>
      <w:proofErr w:type="spellStart"/>
      <w:r w:rsidRPr="00EF4891">
        <w:rPr>
          <w:rFonts w:ascii="Times New Roman" w:hAnsi="Times New Roman" w:cs="Times New Roman"/>
        </w:rPr>
        <w:t>Mendyssa</w:t>
      </w:r>
      <w:proofErr w:type="spellEnd"/>
      <w:r w:rsidRPr="00EF4891">
        <w:rPr>
          <w:rFonts w:ascii="Times New Roman" w:hAnsi="Times New Roman" w:cs="Times New Roman"/>
        </w:rPr>
        <w:t xml:space="preserve"> pour agir contre la Turquie ? </w:t>
      </w:r>
      <w:r w:rsidR="0077218A" w:rsidRPr="00EF4891">
        <w:rPr>
          <w:rFonts w:ascii="Times New Roman" w:hAnsi="Times New Roman" w:cs="Times New Roman"/>
        </w:rPr>
        <w:t xml:space="preserve">Est-ce que </w:t>
      </w:r>
      <w:proofErr w:type="spellStart"/>
      <w:r w:rsidR="0077218A" w:rsidRPr="00EF4891">
        <w:rPr>
          <w:rFonts w:ascii="Times New Roman" w:hAnsi="Times New Roman" w:cs="Times New Roman"/>
        </w:rPr>
        <w:t>Mendyssa</w:t>
      </w:r>
      <w:proofErr w:type="spellEnd"/>
      <w:r w:rsidR="0077218A" w:rsidRPr="00EF4891">
        <w:rPr>
          <w:rFonts w:ascii="Times New Roman" w:hAnsi="Times New Roman" w:cs="Times New Roman"/>
        </w:rPr>
        <w:t xml:space="preserve"> a en droit international un droit à ce que la France exerce sa protection diplomatique à son égard ? </w:t>
      </w:r>
      <w:r w:rsidRPr="00EF4891">
        <w:rPr>
          <w:rFonts w:ascii="Times New Roman" w:hAnsi="Times New Roman" w:cs="Times New Roman"/>
          <w:i/>
          <w:iCs/>
        </w:rPr>
        <w:t>(</w:t>
      </w:r>
      <w:r w:rsidR="0077218A">
        <w:rPr>
          <w:rFonts w:ascii="Times New Roman" w:hAnsi="Times New Roman" w:cs="Times New Roman"/>
          <w:i/>
          <w:iCs/>
        </w:rPr>
        <w:t>4</w:t>
      </w:r>
      <w:r w:rsidRPr="00EF4891">
        <w:rPr>
          <w:rFonts w:ascii="Times New Roman" w:hAnsi="Times New Roman" w:cs="Times New Roman"/>
          <w:i/>
          <w:iCs/>
        </w:rPr>
        <w:t xml:space="preserve"> points)</w:t>
      </w:r>
    </w:p>
    <w:p w14:paraId="3458FCB3" w14:textId="7E5D67DC" w:rsidR="00D15828" w:rsidRPr="00EF4891" w:rsidRDefault="00D15828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F4891">
        <w:rPr>
          <w:rFonts w:ascii="Times New Roman" w:hAnsi="Times New Roman" w:cs="Times New Roman"/>
        </w:rPr>
        <w:t>Peut la France se prévaloir de l</w:t>
      </w:r>
      <w:r w:rsidR="003F30A8">
        <w:rPr>
          <w:rFonts w:ascii="Times New Roman" w:hAnsi="Times New Roman" w:cs="Times New Roman"/>
        </w:rPr>
        <w:t>’</w:t>
      </w:r>
      <w:r w:rsidRPr="00EF4891">
        <w:rPr>
          <w:rFonts w:ascii="Times New Roman" w:hAnsi="Times New Roman" w:cs="Times New Roman"/>
        </w:rPr>
        <w:t xml:space="preserve">article IV.8 de la </w:t>
      </w:r>
      <w:r w:rsidRPr="00EF4891">
        <w:rPr>
          <w:rFonts w:ascii="Times New Roman" w:hAnsi="Times New Roman" w:cs="Times New Roman"/>
          <w:i/>
          <w:iCs/>
        </w:rPr>
        <w:t>Convention européenne</w:t>
      </w:r>
      <w:r w:rsidRPr="00EF4891">
        <w:rPr>
          <w:rFonts w:ascii="Times New Roman" w:hAnsi="Times New Roman" w:cs="Times New Roman"/>
        </w:rPr>
        <w:t xml:space="preserve"> à l</w:t>
      </w:r>
      <w:r w:rsidR="003F30A8">
        <w:rPr>
          <w:rFonts w:ascii="Times New Roman" w:hAnsi="Times New Roman" w:cs="Times New Roman"/>
        </w:rPr>
        <w:t>’</w:t>
      </w:r>
      <w:r w:rsidRPr="00EF4891">
        <w:rPr>
          <w:rFonts w:ascii="Times New Roman" w:hAnsi="Times New Roman" w:cs="Times New Roman"/>
        </w:rPr>
        <w:t>égard de la Turquie ?</w:t>
      </w:r>
      <w:r w:rsidR="005919EF" w:rsidRPr="00EF4891">
        <w:rPr>
          <w:rFonts w:ascii="Times New Roman" w:hAnsi="Times New Roman" w:cs="Times New Roman"/>
        </w:rPr>
        <w:t xml:space="preserve"> Dans le cadre de l</w:t>
      </w:r>
      <w:r w:rsidR="003F30A8">
        <w:rPr>
          <w:rFonts w:ascii="Times New Roman" w:hAnsi="Times New Roman" w:cs="Times New Roman"/>
        </w:rPr>
        <w:t>’</w:t>
      </w:r>
      <w:r w:rsidR="005919EF" w:rsidRPr="00EF4891">
        <w:rPr>
          <w:rFonts w:ascii="Times New Roman" w:hAnsi="Times New Roman" w:cs="Times New Roman"/>
        </w:rPr>
        <w:t>examen de cette question, il convient de</w:t>
      </w:r>
      <w:r w:rsidRPr="00EF4891">
        <w:rPr>
          <w:rFonts w:ascii="Times New Roman" w:hAnsi="Times New Roman" w:cs="Times New Roman"/>
        </w:rPr>
        <w:t xml:space="preserve"> </w:t>
      </w:r>
      <w:r w:rsidR="005919EF" w:rsidRPr="00EF4891">
        <w:rPr>
          <w:rFonts w:ascii="Times New Roman" w:hAnsi="Times New Roman" w:cs="Times New Roman"/>
        </w:rPr>
        <w:t>q</w:t>
      </w:r>
      <w:r w:rsidRPr="00EF4891">
        <w:rPr>
          <w:rFonts w:ascii="Times New Roman" w:hAnsi="Times New Roman" w:cs="Times New Roman"/>
        </w:rPr>
        <w:t>ualifie</w:t>
      </w:r>
      <w:r w:rsidR="005919EF" w:rsidRPr="00EF4891">
        <w:rPr>
          <w:rFonts w:ascii="Times New Roman" w:hAnsi="Times New Roman" w:cs="Times New Roman"/>
        </w:rPr>
        <w:t>r</w:t>
      </w:r>
      <w:r w:rsidRPr="00EF4891">
        <w:rPr>
          <w:rFonts w:ascii="Times New Roman" w:hAnsi="Times New Roman" w:cs="Times New Roman"/>
        </w:rPr>
        <w:t xml:space="preserve"> la déclaration de la Turquie du 20 février 2007</w:t>
      </w:r>
      <w:r w:rsidR="005919EF" w:rsidRPr="00EF4891">
        <w:rPr>
          <w:rFonts w:ascii="Times New Roman" w:hAnsi="Times New Roman" w:cs="Times New Roman"/>
        </w:rPr>
        <w:t xml:space="preserve"> et de vérifier si la déclaration est valide et opposable par la France à la Turquie.</w:t>
      </w:r>
      <w:r w:rsidRPr="00EF4891">
        <w:rPr>
          <w:rFonts w:ascii="Times New Roman" w:hAnsi="Times New Roman" w:cs="Times New Roman"/>
        </w:rPr>
        <w:t xml:space="preserve"> </w:t>
      </w:r>
      <w:r w:rsidRPr="00EF4891">
        <w:rPr>
          <w:rFonts w:ascii="Times New Roman" w:hAnsi="Times New Roman" w:cs="Times New Roman"/>
          <w:i/>
          <w:iCs/>
        </w:rPr>
        <w:t>(</w:t>
      </w:r>
      <w:r w:rsidR="00622615">
        <w:rPr>
          <w:rFonts w:ascii="Times New Roman" w:hAnsi="Times New Roman" w:cs="Times New Roman"/>
          <w:i/>
          <w:iCs/>
        </w:rPr>
        <w:t>4</w:t>
      </w:r>
      <w:r w:rsidRPr="00EF4891">
        <w:rPr>
          <w:rFonts w:ascii="Times New Roman" w:hAnsi="Times New Roman" w:cs="Times New Roman"/>
          <w:i/>
          <w:iCs/>
        </w:rPr>
        <w:t xml:space="preserve"> points)</w:t>
      </w:r>
    </w:p>
    <w:p w14:paraId="667E8991" w14:textId="7BD63EDF" w:rsidR="00A90643" w:rsidRPr="00EF4891" w:rsidRDefault="00C129CD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Qualifiez la Cité du Vatican. </w:t>
      </w:r>
      <w:r w:rsidR="00CC0E6A">
        <w:rPr>
          <w:rFonts w:ascii="Times New Roman" w:hAnsi="Times New Roman" w:cs="Times New Roman"/>
        </w:rPr>
        <w:t>La Cité du Vatican, représentée par l</w:t>
      </w:r>
      <w:r w:rsidR="00A90643" w:rsidRPr="00EF4891">
        <w:rPr>
          <w:rFonts w:ascii="Times New Roman" w:hAnsi="Times New Roman" w:cs="Times New Roman"/>
        </w:rPr>
        <w:t>e Saint-Siège</w:t>
      </w:r>
      <w:r w:rsidR="00CC0E6A">
        <w:rPr>
          <w:rFonts w:ascii="Times New Roman" w:hAnsi="Times New Roman" w:cs="Times New Roman"/>
        </w:rPr>
        <w:t>, est-elle une entité assimilable à un Etat au regard du droit international</w:t>
      </w:r>
      <w:r w:rsidR="00045FF4">
        <w:rPr>
          <w:rFonts w:ascii="Times New Roman" w:hAnsi="Times New Roman" w:cs="Times New Roman"/>
        </w:rPr>
        <w:t xml:space="preserve"> pour la France</w:t>
      </w:r>
      <w:r w:rsidR="00CC0E6A">
        <w:rPr>
          <w:rFonts w:ascii="Times New Roman" w:hAnsi="Times New Roman" w:cs="Times New Roman"/>
        </w:rPr>
        <w:t xml:space="preserve"> ? </w:t>
      </w:r>
      <w:r w:rsidR="00A90643" w:rsidRPr="00EF4891">
        <w:rPr>
          <w:rFonts w:ascii="Times New Roman" w:hAnsi="Times New Roman" w:cs="Times New Roman"/>
          <w:i/>
        </w:rPr>
        <w:t>(</w:t>
      </w:r>
      <w:r w:rsidR="0077218A">
        <w:rPr>
          <w:rFonts w:ascii="Times New Roman" w:hAnsi="Times New Roman" w:cs="Times New Roman"/>
          <w:i/>
        </w:rPr>
        <w:t>2</w:t>
      </w:r>
      <w:r w:rsidR="00A90643" w:rsidRPr="00EF4891">
        <w:rPr>
          <w:rFonts w:ascii="Times New Roman" w:hAnsi="Times New Roman" w:cs="Times New Roman"/>
          <w:i/>
        </w:rPr>
        <w:t> points)</w:t>
      </w:r>
    </w:p>
    <w:p w14:paraId="1F705D13" w14:textId="50D64CE3" w:rsidR="00A90643" w:rsidRPr="00EF4891" w:rsidRDefault="00A90643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F4891">
        <w:rPr>
          <w:rFonts w:ascii="Times New Roman" w:hAnsi="Times New Roman" w:cs="Times New Roman"/>
        </w:rPr>
        <w:t>Qualifiez l</w:t>
      </w:r>
      <w:r w:rsidR="003F30A8">
        <w:rPr>
          <w:rFonts w:ascii="Times New Roman" w:hAnsi="Times New Roman" w:cs="Times New Roman"/>
        </w:rPr>
        <w:t>’</w:t>
      </w:r>
      <w:r w:rsidRPr="00EF4891">
        <w:rPr>
          <w:rFonts w:ascii="Times New Roman" w:hAnsi="Times New Roman" w:cs="Times New Roman"/>
        </w:rPr>
        <w:t xml:space="preserve">accord </w:t>
      </w:r>
      <w:r w:rsidR="0041196C" w:rsidRPr="00EF4891">
        <w:rPr>
          <w:rFonts w:ascii="Times New Roman" w:hAnsi="Times New Roman" w:cs="Times New Roman"/>
        </w:rPr>
        <w:t xml:space="preserve">conclu entre la France et le Saint-Siège </w:t>
      </w:r>
      <w:r w:rsidRPr="00EF4891">
        <w:rPr>
          <w:rFonts w:ascii="Times New Roman" w:hAnsi="Times New Roman" w:cs="Times New Roman"/>
        </w:rPr>
        <w:t xml:space="preserve">au regard du droit français, puis au regard du droit international. </w:t>
      </w:r>
      <w:r w:rsidRPr="00EF4891">
        <w:rPr>
          <w:rFonts w:ascii="Times New Roman" w:hAnsi="Times New Roman" w:cs="Times New Roman"/>
          <w:i/>
        </w:rPr>
        <w:t>(</w:t>
      </w:r>
      <w:r w:rsidR="005919EF" w:rsidRPr="00EF4891">
        <w:rPr>
          <w:rFonts w:ascii="Times New Roman" w:hAnsi="Times New Roman" w:cs="Times New Roman"/>
          <w:i/>
        </w:rPr>
        <w:t>2</w:t>
      </w:r>
      <w:r w:rsidRPr="00EF4891">
        <w:rPr>
          <w:rFonts w:ascii="Times New Roman" w:hAnsi="Times New Roman" w:cs="Times New Roman"/>
          <w:i/>
        </w:rPr>
        <w:t xml:space="preserve"> points)</w:t>
      </w:r>
    </w:p>
    <w:p w14:paraId="34AF6184" w14:textId="6673830C" w:rsidR="00A90643" w:rsidRPr="00EF4891" w:rsidRDefault="00A90643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F4891">
        <w:rPr>
          <w:rFonts w:ascii="Times New Roman" w:hAnsi="Times New Roman" w:cs="Times New Roman"/>
        </w:rPr>
        <w:t>L</w:t>
      </w:r>
      <w:r w:rsidR="003F30A8">
        <w:rPr>
          <w:rFonts w:ascii="Times New Roman" w:hAnsi="Times New Roman" w:cs="Times New Roman"/>
        </w:rPr>
        <w:t>’</w:t>
      </w:r>
      <w:r w:rsidRPr="00EF4891">
        <w:rPr>
          <w:rFonts w:ascii="Times New Roman" w:hAnsi="Times New Roman" w:cs="Times New Roman"/>
        </w:rPr>
        <w:t xml:space="preserve">accord </w:t>
      </w:r>
      <w:r w:rsidR="0041196C" w:rsidRPr="00EF4891">
        <w:rPr>
          <w:rFonts w:ascii="Times New Roman" w:hAnsi="Times New Roman" w:cs="Times New Roman"/>
        </w:rPr>
        <w:t xml:space="preserve">conclu entre la France et le Saint-Siège </w:t>
      </w:r>
      <w:r w:rsidRPr="00EF4891">
        <w:rPr>
          <w:rFonts w:ascii="Times New Roman" w:hAnsi="Times New Roman" w:cs="Times New Roman"/>
        </w:rPr>
        <w:t>est-il opposable aux justiciables en droit français malgré le défaut de ratification</w:t>
      </w:r>
      <w:r w:rsidR="00ED2BBC" w:rsidRPr="00EF4891">
        <w:rPr>
          <w:rFonts w:ascii="Times New Roman" w:hAnsi="Times New Roman" w:cs="Times New Roman"/>
        </w:rPr>
        <w:t xml:space="preserve"> et le Conseil d</w:t>
      </w:r>
      <w:r w:rsidR="003F30A8">
        <w:rPr>
          <w:rFonts w:ascii="Times New Roman" w:hAnsi="Times New Roman" w:cs="Times New Roman"/>
        </w:rPr>
        <w:t>’</w:t>
      </w:r>
      <w:r w:rsidR="00ED2BBC" w:rsidRPr="00EF4891">
        <w:rPr>
          <w:rFonts w:ascii="Times New Roman" w:hAnsi="Times New Roman" w:cs="Times New Roman"/>
        </w:rPr>
        <w:t>Etat est-il compétent pour se prononcer à ce sujet</w:t>
      </w:r>
      <w:r w:rsidRPr="00EF4891">
        <w:rPr>
          <w:rFonts w:ascii="Times New Roman" w:hAnsi="Times New Roman" w:cs="Times New Roman"/>
        </w:rPr>
        <w:t xml:space="preserve"> ? </w:t>
      </w:r>
      <w:r w:rsidRPr="00EF4891">
        <w:rPr>
          <w:rFonts w:ascii="Times New Roman" w:hAnsi="Times New Roman" w:cs="Times New Roman"/>
          <w:i/>
        </w:rPr>
        <w:t>(3 points)</w:t>
      </w:r>
    </w:p>
    <w:p w14:paraId="6093A7D6" w14:textId="77777777" w:rsidR="00ED2BBC" w:rsidRPr="004420D6" w:rsidRDefault="00A90643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EF4891">
        <w:rPr>
          <w:rFonts w:ascii="Times New Roman" w:hAnsi="Times New Roman" w:cs="Times New Roman"/>
        </w:rPr>
        <w:t xml:space="preserve">Le défaut de ratification constitue-t-il un vice de consentement au regard du droit international ? </w:t>
      </w:r>
      <w:r w:rsidRPr="00EF4891">
        <w:rPr>
          <w:rFonts w:ascii="Times New Roman" w:hAnsi="Times New Roman" w:cs="Times New Roman"/>
          <w:i/>
        </w:rPr>
        <w:t>(3 points)</w:t>
      </w:r>
    </w:p>
    <w:p w14:paraId="24C78F38" w14:textId="0FCF404E" w:rsidR="00ED2BBC" w:rsidRPr="00EF4891" w:rsidRDefault="00A90643" w:rsidP="009D75FE">
      <w:pPr>
        <w:pStyle w:val="Paragraphedeliste"/>
        <w:numPr>
          <w:ilvl w:val="0"/>
          <w:numId w:val="1"/>
        </w:numPr>
        <w:spacing w:after="120" w:line="264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4420D6">
        <w:rPr>
          <w:rFonts w:ascii="Times New Roman" w:hAnsi="Times New Roman" w:cs="Times New Roman"/>
        </w:rPr>
        <w:t>Le Conseil d</w:t>
      </w:r>
      <w:r w:rsidR="003F30A8">
        <w:rPr>
          <w:rFonts w:ascii="Times New Roman" w:hAnsi="Times New Roman" w:cs="Times New Roman"/>
        </w:rPr>
        <w:t>’</w:t>
      </w:r>
      <w:r w:rsidRPr="004420D6">
        <w:rPr>
          <w:rFonts w:ascii="Times New Roman" w:hAnsi="Times New Roman" w:cs="Times New Roman"/>
        </w:rPr>
        <w:t xml:space="preserve">Etat </w:t>
      </w:r>
      <w:r w:rsidR="004420D6" w:rsidRPr="004420D6">
        <w:rPr>
          <w:rFonts w:ascii="Times New Roman" w:hAnsi="Times New Roman" w:cs="Times New Roman"/>
        </w:rPr>
        <w:t>est-il compétent pour se prononcer sur la compatibilité de l</w:t>
      </w:r>
      <w:r w:rsidR="003F30A8">
        <w:rPr>
          <w:rFonts w:ascii="Times New Roman" w:hAnsi="Times New Roman" w:cs="Times New Roman"/>
        </w:rPr>
        <w:t>’</w:t>
      </w:r>
      <w:r w:rsidR="004420D6" w:rsidRPr="004420D6">
        <w:rPr>
          <w:rFonts w:ascii="Times New Roman" w:hAnsi="Times New Roman" w:cs="Times New Roman"/>
        </w:rPr>
        <w:t>accord à d</w:t>
      </w:r>
      <w:r w:rsidR="003F30A8">
        <w:rPr>
          <w:rFonts w:ascii="Times New Roman" w:hAnsi="Times New Roman" w:cs="Times New Roman"/>
        </w:rPr>
        <w:t>’</w:t>
      </w:r>
      <w:r w:rsidR="004420D6" w:rsidRPr="004420D6">
        <w:rPr>
          <w:rFonts w:ascii="Times New Roman" w:hAnsi="Times New Roman" w:cs="Times New Roman"/>
        </w:rPr>
        <w:t>autres engagements internationaux ? Justifiez votre réponse.</w:t>
      </w:r>
      <w:r w:rsidR="004420D6">
        <w:rPr>
          <w:rFonts w:ascii="Times New Roman" w:hAnsi="Times New Roman" w:cs="Times New Roman"/>
        </w:rPr>
        <w:t xml:space="preserve"> </w:t>
      </w:r>
      <w:r w:rsidRPr="00EF4891">
        <w:rPr>
          <w:rFonts w:ascii="Times New Roman" w:hAnsi="Times New Roman" w:cs="Times New Roman"/>
          <w:i/>
        </w:rPr>
        <w:t>(</w:t>
      </w:r>
      <w:r w:rsidR="00EE0641" w:rsidRPr="00EF4891">
        <w:rPr>
          <w:rFonts w:ascii="Times New Roman" w:hAnsi="Times New Roman" w:cs="Times New Roman"/>
          <w:i/>
        </w:rPr>
        <w:t>2</w:t>
      </w:r>
      <w:r w:rsidRPr="00EF4891">
        <w:rPr>
          <w:rFonts w:ascii="Times New Roman" w:hAnsi="Times New Roman" w:cs="Times New Roman"/>
          <w:i/>
        </w:rPr>
        <w:t xml:space="preserve"> point</w:t>
      </w:r>
      <w:r w:rsidR="004420D6">
        <w:rPr>
          <w:rFonts w:ascii="Times New Roman" w:hAnsi="Times New Roman" w:cs="Times New Roman"/>
          <w:i/>
        </w:rPr>
        <w:t>s</w:t>
      </w:r>
      <w:r w:rsidRPr="00EF4891">
        <w:rPr>
          <w:rFonts w:ascii="Times New Roman" w:hAnsi="Times New Roman" w:cs="Times New Roman"/>
          <w:i/>
        </w:rPr>
        <w:t>)</w:t>
      </w:r>
    </w:p>
    <w:p w14:paraId="553B53AA" w14:textId="2D083D48" w:rsidR="00A90643" w:rsidRPr="00EF4891" w:rsidRDefault="00ED2BBC" w:rsidP="009D75FE">
      <w:pPr>
        <w:spacing w:after="120" w:line="264" w:lineRule="auto"/>
        <w:jc w:val="both"/>
        <w:rPr>
          <w:i/>
          <w:iCs/>
          <w:sz w:val="22"/>
          <w:szCs w:val="22"/>
        </w:rPr>
      </w:pPr>
      <w:r w:rsidRPr="00EF4891">
        <w:rPr>
          <w:i/>
          <w:sz w:val="22"/>
          <w:szCs w:val="22"/>
        </w:rPr>
        <w:t>Bonus : le Co</w:t>
      </w:r>
      <w:r w:rsidRPr="004420D6">
        <w:rPr>
          <w:i/>
          <w:sz w:val="22"/>
          <w:szCs w:val="22"/>
        </w:rPr>
        <w:t>nseil d</w:t>
      </w:r>
      <w:r w:rsidR="003F30A8">
        <w:rPr>
          <w:i/>
          <w:sz w:val="22"/>
          <w:szCs w:val="22"/>
        </w:rPr>
        <w:t>’</w:t>
      </w:r>
      <w:r w:rsidRPr="004420D6">
        <w:rPr>
          <w:i/>
          <w:sz w:val="22"/>
          <w:szCs w:val="22"/>
        </w:rPr>
        <w:t xml:space="preserve">Etat </w:t>
      </w:r>
      <w:r w:rsidR="004420D6" w:rsidRPr="004420D6">
        <w:rPr>
          <w:i/>
          <w:sz w:val="22"/>
          <w:szCs w:val="22"/>
        </w:rPr>
        <w:t>est-il compétent pour se prononcer sur la compatibilité de l</w:t>
      </w:r>
      <w:r w:rsidR="003F30A8">
        <w:rPr>
          <w:i/>
          <w:sz w:val="22"/>
          <w:szCs w:val="22"/>
        </w:rPr>
        <w:t>’</w:t>
      </w:r>
      <w:r w:rsidR="004420D6" w:rsidRPr="004420D6">
        <w:rPr>
          <w:i/>
          <w:sz w:val="22"/>
          <w:szCs w:val="22"/>
        </w:rPr>
        <w:t>accord avec la Constitution ?</w:t>
      </w:r>
      <w:r w:rsidR="004420D6">
        <w:rPr>
          <w:i/>
          <w:sz w:val="22"/>
          <w:szCs w:val="22"/>
        </w:rPr>
        <w:t xml:space="preserve"> Justifiez votre réponse.</w:t>
      </w:r>
    </w:p>
    <w:p w14:paraId="6E6CE00E" w14:textId="70178E70" w:rsidR="004420D6" w:rsidRDefault="004420D6" w:rsidP="009D75FE">
      <w:pPr>
        <w:spacing w:after="80" w:line="264" w:lineRule="auto"/>
        <w:rPr>
          <w:b/>
          <w:sz w:val="22"/>
          <w:szCs w:val="22"/>
          <w:u w:val="single"/>
        </w:rPr>
      </w:pPr>
    </w:p>
    <w:p w14:paraId="50D7C7BD" w14:textId="3063597D" w:rsidR="00A90643" w:rsidRPr="00EF4891" w:rsidRDefault="00A90643" w:rsidP="004F0C19">
      <w:pPr>
        <w:spacing w:after="80"/>
        <w:jc w:val="center"/>
        <w:rPr>
          <w:b/>
          <w:sz w:val="22"/>
          <w:szCs w:val="22"/>
          <w:u w:val="single"/>
        </w:rPr>
      </w:pPr>
      <w:r w:rsidRPr="00EF4891">
        <w:rPr>
          <w:b/>
          <w:sz w:val="22"/>
          <w:szCs w:val="22"/>
          <w:u w:val="single"/>
        </w:rPr>
        <w:t>Annexe</w:t>
      </w:r>
      <w:r w:rsidR="00EF4891">
        <w:rPr>
          <w:b/>
          <w:sz w:val="22"/>
          <w:szCs w:val="22"/>
          <w:u w:val="single"/>
        </w:rPr>
        <w:t>s</w:t>
      </w:r>
    </w:p>
    <w:p w14:paraId="5DCDC3D0" w14:textId="672BD370" w:rsidR="002804AC" w:rsidRPr="009D75FE" w:rsidRDefault="002804AC" w:rsidP="004F0C19">
      <w:pPr>
        <w:spacing w:after="80"/>
        <w:jc w:val="center"/>
        <w:rPr>
          <w:b/>
          <w:bCs/>
          <w:i/>
          <w:iCs/>
          <w:sz w:val="22"/>
          <w:szCs w:val="22"/>
        </w:rPr>
      </w:pPr>
      <w:r w:rsidRPr="009D75FE">
        <w:rPr>
          <w:b/>
          <w:bCs/>
          <w:i/>
          <w:iCs/>
          <w:sz w:val="22"/>
          <w:szCs w:val="22"/>
        </w:rPr>
        <w:t>Convention sur la reconnaissance des qualifications relatives à l</w:t>
      </w:r>
      <w:r w:rsidR="003F30A8" w:rsidRPr="009D75FE">
        <w:rPr>
          <w:b/>
          <w:bCs/>
          <w:i/>
          <w:iCs/>
          <w:sz w:val="22"/>
          <w:szCs w:val="22"/>
        </w:rPr>
        <w:t>’</w:t>
      </w:r>
      <w:r w:rsidRPr="009D75FE">
        <w:rPr>
          <w:b/>
          <w:bCs/>
          <w:i/>
          <w:iCs/>
          <w:sz w:val="22"/>
          <w:szCs w:val="22"/>
        </w:rPr>
        <w:t>enseignement supérieur dans la région européenne</w:t>
      </w:r>
      <w:r w:rsidR="005919EF" w:rsidRPr="009D75FE">
        <w:rPr>
          <w:b/>
          <w:bCs/>
          <w:i/>
          <w:iCs/>
          <w:sz w:val="22"/>
          <w:szCs w:val="22"/>
        </w:rPr>
        <w:t>, Lisbonne le 11 avril 1997</w:t>
      </w:r>
      <w:r w:rsidR="00EF4891" w:rsidRPr="009D75FE">
        <w:rPr>
          <w:b/>
          <w:bCs/>
          <w:i/>
          <w:iCs/>
          <w:sz w:val="22"/>
          <w:szCs w:val="22"/>
        </w:rPr>
        <w:t>, S</w:t>
      </w:r>
      <w:r w:rsidR="004420D6" w:rsidRPr="009D75FE">
        <w:rPr>
          <w:b/>
          <w:bCs/>
          <w:i/>
          <w:iCs/>
          <w:sz w:val="22"/>
          <w:szCs w:val="22"/>
        </w:rPr>
        <w:t>érie des traités européens (STE)</w:t>
      </w:r>
      <w:r w:rsidR="00EF4891" w:rsidRPr="009D75FE">
        <w:rPr>
          <w:b/>
          <w:bCs/>
          <w:i/>
          <w:iCs/>
          <w:sz w:val="22"/>
          <w:szCs w:val="22"/>
        </w:rPr>
        <w:t xml:space="preserve"> 165</w:t>
      </w:r>
    </w:p>
    <w:p w14:paraId="349E5816" w14:textId="39950A27" w:rsidR="005919EF" w:rsidRPr="00EF4891" w:rsidRDefault="005919EF" w:rsidP="004F0C19">
      <w:pPr>
        <w:spacing w:after="80"/>
        <w:jc w:val="center"/>
        <w:rPr>
          <w:i/>
          <w:iCs/>
          <w:sz w:val="22"/>
          <w:szCs w:val="22"/>
        </w:rPr>
      </w:pPr>
      <w:r w:rsidRPr="00EF4891">
        <w:rPr>
          <w:i/>
          <w:iCs/>
          <w:sz w:val="22"/>
          <w:szCs w:val="22"/>
        </w:rPr>
        <w:t>Entrée en vigueur</w:t>
      </w:r>
      <w:r w:rsidR="00EF4891">
        <w:rPr>
          <w:i/>
          <w:iCs/>
          <w:sz w:val="22"/>
          <w:szCs w:val="22"/>
        </w:rPr>
        <w:t xml:space="preserve"> objective en droit international</w:t>
      </w:r>
      <w:r w:rsidRPr="00EF4891">
        <w:rPr>
          <w:i/>
          <w:iCs/>
          <w:sz w:val="22"/>
          <w:szCs w:val="22"/>
        </w:rPr>
        <w:t> : 1</w:t>
      </w:r>
      <w:r w:rsidRPr="00EF4891">
        <w:rPr>
          <w:i/>
          <w:iCs/>
          <w:sz w:val="22"/>
          <w:szCs w:val="22"/>
          <w:vertAlign w:val="superscript"/>
        </w:rPr>
        <w:t>er</w:t>
      </w:r>
      <w:r w:rsidRPr="00EF4891">
        <w:rPr>
          <w:i/>
          <w:iCs/>
          <w:sz w:val="22"/>
          <w:szCs w:val="22"/>
        </w:rPr>
        <w:t xml:space="preserve"> février 1999</w:t>
      </w:r>
    </w:p>
    <w:p w14:paraId="4AE3B0DA" w14:textId="2753CCDC" w:rsidR="00EF4891" w:rsidRPr="00EF4891" w:rsidRDefault="00EF4891" w:rsidP="004F0C19">
      <w:pPr>
        <w:spacing w:after="80"/>
        <w:jc w:val="center"/>
        <w:rPr>
          <w:i/>
          <w:iCs/>
          <w:sz w:val="22"/>
          <w:szCs w:val="22"/>
        </w:rPr>
      </w:pPr>
      <w:r w:rsidRPr="00EF4891">
        <w:rPr>
          <w:i/>
          <w:iCs/>
          <w:sz w:val="22"/>
          <w:szCs w:val="22"/>
        </w:rPr>
        <w:t>Dépôt de l</w:t>
      </w:r>
      <w:r w:rsidR="003F30A8">
        <w:rPr>
          <w:i/>
          <w:iCs/>
          <w:sz w:val="22"/>
          <w:szCs w:val="22"/>
        </w:rPr>
        <w:t>’</w:t>
      </w:r>
      <w:r w:rsidRPr="00EF4891">
        <w:rPr>
          <w:i/>
          <w:iCs/>
          <w:sz w:val="22"/>
          <w:szCs w:val="22"/>
        </w:rPr>
        <w:t>instrument de ratification par la France : 4 octobre 1999</w:t>
      </w:r>
    </w:p>
    <w:p w14:paraId="1A883968" w14:textId="6178A752" w:rsidR="005919EF" w:rsidRPr="00EF4891" w:rsidRDefault="005919EF" w:rsidP="004F0C19">
      <w:pPr>
        <w:spacing w:after="80"/>
        <w:jc w:val="center"/>
        <w:rPr>
          <w:i/>
          <w:iCs/>
          <w:sz w:val="22"/>
          <w:szCs w:val="22"/>
        </w:rPr>
      </w:pPr>
      <w:r w:rsidRPr="00EF4891">
        <w:rPr>
          <w:i/>
          <w:iCs/>
          <w:sz w:val="22"/>
          <w:szCs w:val="22"/>
        </w:rPr>
        <w:t>Dépôt de l</w:t>
      </w:r>
      <w:r w:rsidR="003F30A8">
        <w:rPr>
          <w:i/>
          <w:iCs/>
          <w:sz w:val="22"/>
          <w:szCs w:val="22"/>
        </w:rPr>
        <w:t>’</w:t>
      </w:r>
      <w:r w:rsidRPr="00EF4891">
        <w:rPr>
          <w:i/>
          <w:iCs/>
          <w:sz w:val="22"/>
          <w:szCs w:val="22"/>
        </w:rPr>
        <w:t>instrument de ratification par l</w:t>
      </w:r>
      <w:r w:rsidR="003F30A8">
        <w:rPr>
          <w:i/>
          <w:iCs/>
          <w:sz w:val="22"/>
          <w:szCs w:val="22"/>
        </w:rPr>
        <w:t>’</w:t>
      </w:r>
      <w:r w:rsidRPr="00EF4891">
        <w:rPr>
          <w:i/>
          <w:iCs/>
          <w:sz w:val="22"/>
          <w:szCs w:val="22"/>
        </w:rPr>
        <w:t>Allemagne : 23 août 2007</w:t>
      </w:r>
    </w:p>
    <w:p w14:paraId="6B9273F3" w14:textId="6C7720B1" w:rsidR="002804AC" w:rsidRPr="00C129CD" w:rsidRDefault="002804AC" w:rsidP="004F0C19">
      <w:pPr>
        <w:spacing w:after="80"/>
        <w:jc w:val="center"/>
        <w:rPr>
          <w:sz w:val="22"/>
          <w:szCs w:val="22"/>
        </w:rPr>
      </w:pPr>
    </w:p>
    <w:p w14:paraId="273E0EEF" w14:textId="77777777" w:rsidR="00EF4891" w:rsidRPr="00C129CD" w:rsidRDefault="00EF4891" w:rsidP="004F0C19">
      <w:pPr>
        <w:spacing w:after="80"/>
        <w:jc w:val="both"/>
        <w:rPr>
          <w:b/>
          <w:bCs/>
          <w:sz w:val="22"/>
          <w:szCs w:val="22"/>
        </w:rPr>
        <w:sectPr w:rsidR="00EF4891" w:rsidRPr="00C129C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138416" w14:textId="77777777" w:rsidR="0041196C" w:rsidRPr="00C129CD" w:rsidRDefault="0041196C" w:rsidP="004F0C19">
      <w:pPr>
        <w:spacing w:after="80"/>
        <w:jc w:val="both"/>
        <w:rPr>
          <w:b/>
          <w:bCs/>
          <w:sz w:val="22"/>
          <w:szCs w:val="22"/>
        </w:rPr>
      </w:pPr>
      <w:r w:rsidRPr="00C129CD">
        <w:rPr>
          <w:b/>
          <w:bCs/>
          <w:sz w:val="22"/>
          <w:szCs w:val="22"/>
        </w:rPr>
        <w:t>Article IV.8</w:t>
      </w:r>
    </w:p>
    <w:p w14:paraId="3DBF0C7F" w14:textId="415E207D" w:rsidR="0041196C" w:rsidRPr="00C129CD" w:rsidRDefault="0041196C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>Dans les Parties dans lesquelles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accès à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enseignement supérieur peut être obtenu sur base de qualifications non traditionnelles, des qualifications similaires obtenues dans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autres Parties sont évaluées de la même manière que les qualifications non traditionnelles obtenues dans la Partie dans laquelle la reconnaissance est demandée.</w:t>
      </w:r>
    </w:p>
    <w:p w14:paraId="28E77593" w14:textId="057A2E6B" w:rsidR="0041196C" w:rsidRPr="00C129CD" w:rsidRDefault="00EF4891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>[…]</w:t>
      </w:r>
    </w:p>
    <w:p w14:paraId="58FE441D" w14:textId="77777777" w:rsidR="002804AC" w:rsidRPr="00C129CD" w:rsidRDefault="002804AC" w:rsidP="004F0C19">
      <w:pPr>
        <w:spacing w:after="80"/>
        <w:jc w:val="both"/>
        <w:rPr>
          <w:b/>
          <w:bCs/>
          <w:sz w:val="22"/>
          <w:szCs w:val="22"/>
        </w:rPr>
      </w:pPr>
      <w:r w:rsidRPr="00C129CD">
        <w:rPr>
          <w:b/>
          <w:bCs/>
          <w:sz w:val="22"/>
          <w:szCs w:val="22"/>
        </w:rPr>
        <w:t>Section XI – Clauses finales</w:t>
      </w:r>
    </w:p>
    <w:p w14:paraId="1A649B09" w14:textId="77777777" w:rsidR="002804AC" w:rsidRPr="00C129CD" w:rsidRDefault="002804AC" w:rsidP="004F0C19">
      <w:pPr>
        <w:spacing w:after="80"/>
        <w:jc w:val="both"/>
        <w:rPr>
          <w:b/>
          <w:bCs/>
          <w:sz w:val="22"/>
          <w:szCs w:val="22"/>
        </w:rPr>
      </w:pPr>
      <w:r w:rsidRPr="00C129CD">
        <w:rPr>
          <w:b/>
          <w:bCs/>
          <w:sz w:val="22"/>
          <w:szCs w:val="22"/>
        </w:rPr>
        <w:t>Article XI.1</w:t>
      </w:r>
    </w:p>
    <w:p w14:paraId="70F7FBB4" w14:textId="529660AB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>1 La présente Convention est ouverte à la signature</w:t>
      </w:r>
      <w:r w:rsidR="0041196C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>:</w:t>
      </w:r>
    </w:p>
    <w:p w14:paraId="3A39C567" w14:textId="53CD8599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t>a</w:t>
      </w:r>
      <w:proofErr w:type="gramEnd"/>
      <w:r w:rsidRPr="00C129CD">
        <w:rPr>
          <w:sz w:val="22"/>
          <w:szCs w:val="22"/>
        </w:rPr>
        <w:t xml:space="preserve"> des Etats membres du Conseil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Europe</w:t>
      </w:r>
      <w:r w:rsidR="00EF4891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>;</w:t>
      </w:r>
    </w:p>
    <w:p w14:paraId="03E547A2" w14:textId="09123A76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t>b</w:t>
      </w:r>
      <w:proofErr w:type="gramEnd"/>
      <w:r w:rsidRPr="00C129CD">
        <w:rPr>
          <w:sz w:val="22"/>
          <w:szCs w:val="22"/>
        </w:rPr>
        <w:t xml:space="preserve"> des Etats membres de la région Europe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UNESCO</w:t>
      </w:r>
      <w:r w:rsidR="00EF4891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>;</w:t>
      </w:r>
    </w:p>
    <w:p w14:paraId="1853B7A3" w14:textId="19DFCBC8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t>c</w:t>
      </w:r>
      <w:proofErr w:type="gramEnd"/>
      <w:r w:rsidRPr="00C129CD">
        <w:rPr>
          <w:sz w:val="22"/>
          <w:szCs w:val="22"/>
        </w:rPr>
        <w:t xml:space="preserve"> de tout autre signataire, Etat contractant ou Partie à la Convention culturelle européenne du Conseil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Europe et/ou à la Convention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UNESCO sur la reconnaissance des études et des diplômes relatifs à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enseignement supérieur dans les Etats de la Région Europe, qui ont été invités à participer à la conférence diplomatique chargée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 xml:space="preserve">adoption de la présente Convention. </w:t>
      </w:r>
    </w:p>
    <w:p w14:paraId="0DA5BEA6" w14:textId="624983FA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>2 Ces Etats et le Saint-Siège peuvent exprimer leur consentement à être liés par</w:t>
      </w:r>
      <w:r w:rsidR="00EF4891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 xml:space="preserve">: </w:t>
      </w:r>
    </w:p>
    <w:p w14:paraId="1776CE1C" w14:textId="7E7D1E7D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lastRenderedPageBreak/>
        <w:t>a</w:t>
      </w:r>
      <w:proofErr w:type="gramEnd"/>
      <w:r w:rsidRPr="00C129CD">
        <w:rPr>
          <w:sz w:val="22"/>
          <w:szCs w:val="22"/>
        </w:rPr>
        <w:t xml:space="preserve"> signature, sans réserve de ratification,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acceptation ou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approbation</w:t>
      </w:r>
      <w:r w:rsidR="00EF4891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>; ou</w:t>
      </w:r>
    </w:p>
    <w:p w14:paraId="6DA53707" w14:textId="395909D4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t>b</w:t>
      </w:r>
      <w:proofErr w:type="gramEnd"/>
      <w:r w:rsidRPr="00C129CD">
        <w:rPr>
          <w:sz w:val="22"/>
          <w:szCs w:val="22"/>
        </w:rPr>
        <w:t xml:space="preserve"> signature, soumise à ratification, acceptation ou approbation, suivie de la ratification, acceptation ou approbation</w:t>
      </w:r>
      <w:r w:rsidR="00EF4891" w:rsidRPr="00C129CD">
        <w:rPr>
          <w:sz w:val="22"/>
          <w:szCs w:val="22"/>
        </w:rPr>
        <w:t> </w:t>
      </w:r>
      <w:r w:rsidRPr="00C129CD">
        <w:rPr>
          <w:sz w:val="22"/>
          <w:szCs w:val="22"/>
        </w:rPr>
        <w:t>; ou</w:t>
      </w:r>
    </w:p>
    <w:p w14:paraId="67C7DDFA" w14:textId="15652E94" w:rsidR="002804AC" w:rsidRPr="00C129CD" w:rsidRDefault="002804AC" w:rsidP="004F0C19">
      <w:pPr>
        <w:spacing w:after="80"/>
        <w:jc w:val="both"/>
        <w:rPr>
          <w:sz w:val="22"/>
          <w:szCs w:val="22"/>
        </w:rPr>
      </w:pPr>
      <w:proofErr w:type="gramStart"/>
      <w:r w:rsidRPr="00C129CD">
        <w:rPr>
          <w:sz w:val="22"/>
          <w:szCs w:val="22"/>
        </w:rPr>
        <w:t>c</w:t>
      </w:r>
      <w:proofErr w:type="gramEnd"/>
      <w:r w:rsidRPr="00C129CD">
        <w:rPr>
          <w:sz w:val="22"/>
          <w:szCs w:val="22"/>
        </w:rPr>
        <w:t xml:space="preserve"> adhésion.</w:t>
      </w:r>
    </w:p>
    <w:p w14:paraId="0B8F1C56" w14:textId="5B37BF1A" w:rsidR="0041196C" w:rsidRPr="00C129CD" w:rsidRDefault="0041196C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>[…]</w:t>
      </w:r>
    </w:p>
    <w:p w14:paraId="04AB24C3" w14:textId="575EF664" w:rsidR="0041196C" w:rsidRPr="00C129CD" w:rsidRDefault="00C129CD" w:rsidP="004F0C19">
      <w:pPr>
        <w:spacing w:after="80"/>
        <w:jc w:val="both"/>
        <w:rPr>
          <w:b/>
          <w:bCs/>
          <w:sz w:val="22"/>
          <w:szCs w:val="22"/>
        </w:rPr>
      </w:pPr>
      <w:r w:rsidRPr="00C129CD">
        <w:rPr>
          <w:b/>
          <w:bCs/>
          <w:sz w:val="22"/>
          <w:szCs w:val="22"/>
        </w:rPr>
        <w:t>Article XI.2</w:t>
      </w:r>
    </w:p>
    <w:p w14:paraId="711F3D15" w14:textId="498B262A" w:rsidR="00C129CD" w:rsidRPr="00C129CD" w:rsidRDefault="00C129CD" w:rsidP="004F0C19">
      <w:pPr>
        <w:spacing w:after="80"/>
        <w:jc w:val="both"/>
        <w:rPr>
          <w:sz w:val="22"/>
          <w:szCs w:val="22"/>
        </w:rPr>
      </w:pPr>
      <w:r w:rsidRPr="00C129CD">
        <w:rPr>
          <w:sz w:val="22"/>
          <w:szCs w:val="22"/>
        </w:rPr>
        <w:t xml:space="preserve">La présente Convention entrera </w:t>
      </w:r>
      <w:r w:rsidRPr="00C129CD">
        <w:rPr>
          <w:rStyle w:val="highlight"/>
          <w:sz w:val="22"/>
          <w:szCs w:val="22"/>
        </w:rPr>
        <w:t>en vigueur</w:t>
      </w:r>
      <w:r w:rsidRPr="00C129CD">
        <w:rPr>
          <w:sz w:val="22"/>
          <w:szCs w:val="22"/>
        </w:rPr>
        <w:t xml:space="preserve"> le premier jour du mois suivant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expiration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</w:t>
      </w:r>
      <w:r>
        <w:rPr>
          <w:sz w:val="22"/>
          <w:szCs w:val="22"/>
        </w:rPr>
        <w:t xml:space="preserve"> </w:t>
      </w:r>
      <w:r w:rsidRPr="00C129CD">
        <w:rPr>
          <w:sz w:val="22"/>
          <w:szCs w:val="22"/>
        </w:rPr>
        <w:t>délai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 mois après que cinq Etats, dont au moins trois Etats membres du Conseil de</w:t>
      </w:r>
      <w:r>
        <w:rPr>
          <w:sz w:val="22"/>
          <w:szCs w:val="22"/>
        </w:rPr>
        <w:t xml:space="preserve"> </w:t>
      </w:r>
      <w:r w:rsidRPr="00C129CD">
        <w:rPr>
          <w:sz w:val="22"/>
          <w:szCs w:val="22"/>
        </w:rPr>
        <w:t>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Europe et/ou de la région Europe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UNESCO, auront exprimé leur consentement à être</w:t>
      </w:r>
      <w:r>
        <w:rPr>
          <w:sz w:val="22"/>
          <w:szCs w:val="22"/>
        </w:rPr>
        <w:t xml:space="preserve"> </w:t>
      </w:r>
      <w:r w:rsidRPr="00C129CD">
        <w:rPr>
          <w:sz w:val="22"/>
          <w:szCs w:val="22"/>
        </w:rPr>
        <w:t xml:space="preserve">liés par la Convention. Elle entrera </w:t>
      </w:r>
      <w:r w:rsidRPr="00C129CD">
        <w:rPr>
          <w:rStyle w:val="highlight"/>
          <w:sz w:val="22"/>
          <w:szCs w:val="22"/>
        </w:rPr>
        <w:t>en vigueur</w:t>
      </w:r>
      <w:r w:rsidRPr="00C129CD">
        <w:rPr>
          <w:sz w:val="22"/>
          <w:szCs w:val="22"/>
        </w:rPr>
        <w:t>, pour chaque autre Etat, le premier jour du</w:t>
      </w:r>
      <w:r>
        <w:rPr>
          <w:sz w:val="22"/>
          <w:szCs w:val="22"/>
        </w:rPr>
        <w:t xml:space="preserve"> </w:t>
      </w:r>
      <w:r w:rsidRPr="00C129CD">
        <w:rPr>
          <w:sz w:val="22"/>
          <w:szCs w:val="22"/>
        </w:rPr>
        <w:t>mois suivant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expiration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 délai d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un mois après la date de l</w:t>
      </w:r>
      <w:r w:rsidR="003F30A8">
        <w:rPr>
          <w:sz w:val="22"/>
          <w:szCs w:val="22"/>
        </w:rPr>
        <w:t>’</w:t>
      </w:r>
      <w:r w:rsidRPr="00C129CD">
        <w:rPr>
          <w:sz w:val="22"/>
          <w:szCs w:val="22"/>
        </w:rPr>
        <w:t>expression de son</w:t>
      </w:r>
      <w:r>
        <w:rPr>
          <w:sz w:val="22"/>
          <w:szCs w:val="22"/>
        </w:rPr>
        <w:t xml:space="preserve"> </w:t>
      </w:r>
      <w:r w:rsidRPr="00C129CD">
        <w:rPr>
          <w:sz w:val="22"/>
          <w:szCs w:val="22"/>
        </w:rPr>
        <w:t>consentement à être lié par la Convention.</w:t>
      </w:r>
    </w:p>
    <w:p w14:paraId="366F0A83" w14:textId="77777777" w:rsidR="0041196C" w:rsidRPr="00EF4891" w:rsidRDefault="0041196C" w:rsidP="004F0C19">
      <w:pPr>
        <w:spacing w:after="80"/>
        <w:jc w:val="both"/>
        <w:rPr>
          <w:b/>
          <w:bCs/>
          <w:sz w:val="22"/>
          <w:szCs w:val="22"/>
        </w:rPr>
      </w:pPr>
      <w:r w:rsidRPr="00EF4891">
        <w:rPr>
          <w:b/>
          <w:bCs/>
          <w:sz w:val="22"/>
          <w:szCs w:val="22"/>
        </w:rPr>
        <w:t xml:space="preserve">Article XI.7 </w:t>
      </w:r>
    </w:p>
    <w:p w14:paraId="69A60638" w14:textId="38C144B9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1 Tout Etat, le Saint-Siège, la Communauté européenne peuvent, lors de la signature ou au moment du dépôt de leur instrument de ratification,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acceptation,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approbation ou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adhésion, déclarer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ils se réservent le droit </w:t>
      </w:r>
      <w:r w:rsidRPr="00EF4891">
        <w:rPr>
          <w:sz w:val="22"/>
          <w:szCs w:val="22"/>
        </w:rPr>
        <w:t>de ne pas appliquer, partiellement ou totalement, un ou plusieurs des articles suivants de la présente Convention</w:t>
      </w:r>
      <w:r w:rsidR="00EF4891">
        <w:rPr>
          <w:sz w:val="22"/>
          <w:szCs w:val="22"/>
        </w:rPr>
        <w:t> </w:t>
      </w:r>
      <w:r w:rsidRPr="00EF4891">
        <w:rPr>
          <w:sz w:val="22"/>
          <w:szCs w:val="22"/>
        </w:rPr>
        <w:t xml:space="preserve">: </w:t>
      </w:r>
    </w:p>
    <w:p w14:paraId="1DBEDDBF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Article IV.8,</w:t>
      </w:r>
    </w:p>
    <w:p w14:paraId="7C6DDB92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Article V.3,</w:t>
      </w:r>
    </w:p>
    <w:p w14:paraId="07786A64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Article VI.3,</w:t>
      </w:r>
    </w:p>
    <w:p w14:paraId="18B5BC65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Article VIII.2,</w:t>
      </w:r>
    </w:p>
    <w:p w14:paraId="02034034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Article IX.3.</w:t>
      </w:r>
    </w:p>
    <w:p w14:paraId="4B927158" w14:textId="77777777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Aucune autre réserve ne peut être faite.</w:t>
      </w:r>
    </w:p>
    <w:p w14:paraId="542F531F" w14:textId="775462C4" w:rsidR="0041196C" w:rsidRPr="00EF4891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2 Toute Partie ayant formulé une réserve en vertu du paragraphe précédent peut la retirer, en tout ou partie, par notification adressée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 des dépositaires. Le retrait prendra effet à la date de réception de la notification par le dépositaire.</w:t>
      </w:r>
    </w:p>
    <w:p w14:paraId="110D0396" w14:textId="6536F841" w:rsidR="0041196C" w:rsidRDefault="0041196C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3 Une Partie ayant formulé une réserve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égard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une disposition de la présente Convention ne peut pas prétendre à son application par une autre Partie</w:t>
      </w:r>
      <w:r w:rsidR="00045FF4">
        <w:rPr>
          <w:sz w:val="22"/>
          <w:szCs w:val="22"/>
        </w:rPr>
        <w:t> </w:t>
      </w:r>
      <w:r w:rsidRPr="00EF4891">
        <w:rPr>
          <w:sz w:val="22"/>
          <w:szCs w:val="22"/>
        </w:rPr>
        <w:t>; elle peut, toutefois, si la réserve est partielle ou conditionnelle, prétendre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application de cette disposition dans la mesure où elle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 acceptée.</w:t>
      </w:r>
    </w:p>
    <w:p w14:paraId="1BC205AD" w14:textId="7D606EFF" w:rsidR="0077218A" w:rsidRDefault="0077218A" w:rsidP="004F0C19">
      <w:pPr>
        <w:spacing w:after="80"/>
        <w:jc w:val="both"/>
        <w:rPr>
          <w:sz w:val="22"/>
          <w:szCs w:val="22"/>
        </w:rPr>
      </w:pPr>
    </w:p>
    <w:p w14:paraId="778F32D5" w14:textId="77777777" w:rsidR="0077218A" w:rsidRPr="00EF4891" w:rsidRDefault="0077218A" w:rsidP="004F0C19">
      <w:pPr>
        <w:spacing w:after="80"/>
        <w:jc w:val="both"/>
        <w:rPr>
          <w:sz w:val="22"/>
          <w:szCs w:val="22"/>
        </w:rPr>
      </w:pPr>
    </w:p>
    <w:p w14:paraId="12CFB5CD" w14:textId="77777777" w:rsidR="00EF4891" w:rsidRDefault="00EF4891" w:rsidP="004F0C19">
      <w:pPr>
        <w:spacing w:after="80"/>
        <w:jc w:val="center"/>
        <w:rPr>
          <w:b/>
          <w:i/>
          <w:sz w:val="22"/>
          <w:szCs w:val="22"/>
        </w:rPr>
        <w:sectPr w:rsidR="00EF4891" w:rsidSect="00EF489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586DC9" w14:textId="7C6A1FB7" w:rsidR="0077218A" w:rsidRDefault="0077218A" w:rsidP="004F0C19">
      <w:pPr>
        <w:spacing w:after="80"/>
        <w:jc w:val="center"/>
        <w:rPr>
          <w:b/>
          <w:i/>
          <w:sz w:val="22"/>
          <w:szCs w:val="22"/>
        </w:rPr>
      </w:pPr>
    </w:p>
    <w:p w14:paraId="01168AE9" w14:textId="06C673E3" w:rsidR="00A90643" w:rsidRPr="00EF4891" w:rsidRDefault="00A90643" w:rsidP="004F0C19">
      <w:pPr>
        <w:spacing w:after="80"/>
        <w:jc w:val="center"/>
        <w:rPr>
          <w:b/>
          <w:i/>
          <w:sz w:val="22"/>
          <w:szCs w:val="22"/>
        </w:rPr>
      </w:pPr>
      <w:r w:rsidRPr="00EF4891">
        <w:rPr>
          <w:b/>
          <w:i/>
          <w:sz w:val="22"/>
          <w:szCs w:val="22"/>
        </w:rPr>
        <w:t>Constitution du 4 octobre 1958 (extrait)</w:t>
      </w:r>
    </w:p>
    <w:p w14:paraId="457E3E2F" w14:textId="77777777" w:rsidR="00EF4891" w:rsidRDefault="00EF4891" w:rsidP="004F0C19">
      <w:pPr>
        <w:spacing w:after="80"/>
        <w:jc w:val="both"/>
        <w:rPr>
          <w:b/>
          <w:bCs/>
          <w:sz w:val="22"/>
          <w:szCs w:val="22"/>
        </w:rPr>
        <w:sectPr w:rsidR="00EF4891" w:rsidSect="00EF489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6F0210" w14:textId="77777777" w:rsidR="00A90643" w:rsidRPr="00EF4891" w:rsidRDefault="00A90643" w:rsidP="004F0C19">
      <w:pPr>
        <w:spacing w:after="80"/>
        <w:jc w:val="both"/>
        <w:rPr>
          <w:b/>
          <w:bCs/>
          <w:sz w:val="22"/>
          <w:szCs w:val="22"/>
        </w:rPr>
      </w:pPr>
      <w:r w:rsidRPr="00EF4891">
        <w:rPr>
          <w:b/>
          <w:bCs/>
          <w:sz w:val="22"/>
          <w:szCs w:val="22"/>
        </w:rPr>
        <w:t xml:space="preserve">ARTICLE 52. </w:t>
      </w:r>
    </w:p>
    <w:p w14:paraId="3DAEC115" w14:textId="77777777" w:rsidR="00A90643" w:rsidRPr="00EF4891" w:rsidRDefault="00A90643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 xml:space="preserve">Le Président de la République négocie et ratifie les traités. </w:t>
      </w:r>
    </w:p>
    <w:p w14:paraId="74320EFB" w14:textId="1A4DBE78" w:rsidR="00A90643" w:rsidRPr="00EF4891" w:rsidRDefault="00A90643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Il est informé de toute négociation tendant à la conclusion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un accord international non soumis à ratification. </w:t>
      </w:r>
    </w:p>
    <w:p w14:paraId="3F759C02" w14:textId="77777777" w:rsidR="00A90643" w:rsidRPr="00EF4891" w:rsidRDefault="00A90643" w:rsidP="004F0C19">
      <w:pPr>
        <w:spacing w:after="80"/>
        <w:jc w:val="both"/>
        <w:outlineLvl w:val="4"/>
        <w:rPr>
          <w:b/>
          <w:bCs/>
          <w:sz w:val="22"/>
          <w:szCs w:val="22"/>
        </w:rPr>
      </w:pPr>
      <w:bookmarkStart w:id="0" w:name="article53"/>
      <w:bookmarkEnd w:id="0"/>
      <w:r w:rsidRPr="00EF4891">
        <w:rPr>
          <w:b/>
          <w:bCs/>
          <w:sz w:val="22"/>
          <w:szCs w:val="22"/>
        </w:rPr>
        <w:t xml:space="preserve">ARTICLE 53. </w:t>
      </w:r>
    </w:p>
    <w:p w14:paraId="1DEED710" w14:textId="0E42DC7D" w:rsidR="00A90643" w:rsidRPr="00EF4891" w:rsidRDefault="00A90643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Les traités de paix, les traités de commerce, les traités ou accords relatifs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organisation internationale, ceux qui engagent les finances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État, ceux qui modifient des dispositions de nature législative, ceux qui sont relatifs à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état des personnes, ceux qui comportent cession, échange ou adjonction de territoire, ne peuvent être ratifiés ou approuvés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 vertu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une loi. </w:t>
      </w:r>
    </w:p>
    <w:p w14:paraId="6EBD4E96" w14:textId="52A1EA98" w:rsidR="00A90643" w:rsidRPr="00EF4891" w:rsidRDefault="00A90643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Ils ne prennent effet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après avoir été ratifiés ou approuvés. </w:t>
      </w:r>
    </w:p>
    <w:p w14:paraId="6F7CBF29" w14:textId="41F4662E" w:rsidR="00A90643" w:rsidRPr="00EF4891" w:rsidRDefault="00A90643" w:rsidP="004F0C19">
      <w:pPr>
        <w:spacing w:after="80"/>
        <w:jc w:val="both"/>
        <w:rPr>
          <w:b/>
          <w:bCs/>
          <w:sz w:val="22"/>
          <w:szCs w:val="22"/>
        </w:rPr>
      </w:pPr>
      <w:r w:rsidRPr="00EF4891">
        <w:rPr>
          <w:sz w:val="22"/>
          <w:szCs w:val="22"/>
        </w:rPr>
        <w:t>Nulle cession, nul échange, nulle adjonction de territoire n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est valable sans le consentement des populations intéressées. </w:t>
      </w:r>
      <w:bookmarkStart w:id="1" w:name="article53-1"/>
      <w:bookmarkStart w:id="2" w:name="article54"/>
      <w:bookmarkEnd w:id="1"/>
      <w:bookmarkEnd w:id="2"/>
      <w:r w:rsidRPr="00EF4891">
        <w:rPr>
          <w:bCs/>
          <w:sz w:val="22"/>
          <w:szCs w:val="22"/>
        </w:rPr>
        <w:t>[…]</w:t>
      </w:r>
    </w:p>
    <w:p w14:paraId="1FBE6CAD" w14:textId="77777777" w:rsidR="00A90643" w:rsidRPr="00EF4891" w:rsidRDefault="00A90643" w:rsidP="004F0C19">
      <w:pPr>
        <w:spacing w:after="80"/>
        <w:jc w:val="both"/>
        <w:outlineLvl w:val="4"/>
        <w:rPr>
          <w:b/>
          <w:bCs/>
          <w:sz w:val="22"/>
          <w:szCs w:val="22"/>
        </w:rPr>
      </w:pPr>
      <w:bookmarkStart w:id="3" w:name="article55"/>
      <w:bookmarkEnd w:id="3"/>
      <w:r w:rsidRPr="00EF4891">
        <w:rPr>
          <w:b/>
          <w:bCs/>
          <w:sz w:val="22"/>
          <w:szCs w:val="22"/>
        </w:rPr>
        <w:t xml:space="preserve">ARTICLE 54. </w:t>
      </w:r>
    </w:p>
    <w:p w14:paraId="675BE829" w14:textId="055426C2" w:rsidR="00A90643" w:rsidRPr="00EF4891" w:rsidRDefault="00A90643" w:rsidP="004F0C19">
      <w:pPr>
        <w:spacing w:after="80"/>
        <w:jc w:val="both"/>
        <w:rPr>
          <w:sz w:val="22"/>
          <w:szCs w:val="22"/>
        </w:rPr>
      </w:pPr>
      <w:r w:rsidRPr="00EF4891">
        <w:rPr>
          <w:sz w:val="22"/>
          <w:szCs w:val="22"/>
        </w:rPr>
        <w:t>Si le Conseil constitutionnel, saisi par le Président de la République, par le Premier ministre, par le président de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une ou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autre assemblée ou par soixante députés ou soixante sénateurs, a déclaré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un engagement international comporte une clause contraire à la Constitution,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autorisation de ratifier ou d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approuver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>engagement international en cause ne peut intervenir qu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après révision de la Constitution. </w:t>
      </w:r>
    </w:p>
    <w:p w14:paraId="4BE65964" w14:textId="77777777" w:rsidR="00A90643" w:rsidRPr="00EF4891" w:rsidRDefault="00A90643" w:rsidP="004F0C19">
      <w:pPr>
        <w:spacing w:after="80"/>
        <w:jc w:val="both"/>
        <w:outlineLvl w:val="4"/>
        <w:rPr>
          <w:b/>
          <w:bCs/>
          <w:sz w:val="22"/>
          <w:szCs w:val="22"/>
        </w:rPr>
      </w:pPr>
      <w:r w:rsidRPr="00EF4891">
        <w:rPr>
          <w:b/>
          <w:bCs/>
          <w:sz w:val="22"/>
          <w:szCs w:val="22"/>
        </w:rPr>
        <w:t xml:space="preserve">ARTICLE 55. </w:t>
      </w:r>
    </w:p>
    <w:p w14:paraId="5F002BC4" w14:textId="56C43D6A" w:rsidR="00A90643" w:rsidRPr="004F0C19" w:rsidRDefault="00A90643" w:rsidP="004F0C19">
      <w:pPr>
        <w:spacing w:after="80"/>
        <w:jc w:val="both"/>
        <w:rPr>
          <w:sz w:val="6"/>
          <w:szCs w:val="6"/>
        </w:rPr>
      </w:pPr>
      <w:r w:rsidRPr="00EF4891">
        <w:rPr>
          <w:sz w:val="22"/>
          <w:szCs w:val="22"/>
        </w:rPr>
        <w:t>Les traités ou accords régulièrement ratifiés ou approuvés ont, dès leur publication, une autorité supérieure à celle des lois, sous réserve, pour chaque accord ou traité, de son application par l</w:t>
      </w:r>
      <w:r w:rsidR="003F30A8">
        <w:rPr>
          <w:sz w:val="22"/>
          <w:szCs w:val="22"/>
        </w:rPr>
        <w:t>’</w:t>
      </w:r>
      <w:r w:rsidRPr="00EF4891">
        <w:rPr>
          <w:sz w:val="22"/>
          <w:szCs w:val="22"/>
        </w:rPr>
        <w:t xml:space="preserve">autre partie. </w:t>
      </w:r>
    </w:p>
    <w:p w14:paraId="17245A35" w14:textId="77777777" w:rsidR="00EF4891" w:rsidRPr="004F0C19" w:rsidRDefault="00EF4891" w:rsidP="004F0C19">
      <w:pPr>
        <w:spacing w:after="80"/>
        <w:rPr>
          <w:sz w:val="6"/>
          <w:szCs w:val="6"/>
        </w:rPr>
        <w:sectPr w:rsidR="00EF4891" w:rsidRPr="004F0C19" w:rsidSect="00EF489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FCB6C5A" w14:textId="77777777" w:rsidR="00BF393C" w:rsidRPr="004F0C19" w:rsidRDefault="00BF393C" w:rsidP="004F0C19">
      <w:pPr>
        <w:rPr>
          <w:sz w:val="6"/>
          <w:szCs w:val="6"/>
        </w:rPr>
      </w:pPr>
    </w:p>
    <w:sectPr w:rsidR="00BF393C" w:rsidRPr="004F0C19" w:rsidSect="00EF489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293F" w14:textId="77777777" w:rsidR="002A531F" w:rsidRDefault="002A531F" w:rsidP="00E811A7">
      <w:r>
        <w:separator/>
      </w:r>
    </w:p>
  </w:endnote>
  <w:endnote w:type="continuationSeparator" w:id="0">
    <w:p w14:paraId="2CD9B6FB" w14:textId="77777777" w:rsidR="002A531F" w:rsidRDefault="002A531F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421972"/>
      <w:docPartObj>
        <w:docPartGallery w:val="Page Numbers (Bottom of Page)"/>
        <w:docPartUnique/>
      </w:docPartObj>
    </w:sdtPr>
    <w:sdtContent>
      <w:p w14:paraId="1F83D484" w14:textId="257E197B" w:rsidR="0077218A" w:rsidRDefault="0077218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566EE995" w14:textId="66F35153" w:rsidR="00E811A7" w:rsidRDefault="00E811A7" w:rsidP="00E811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988B" w14:textId="77777777" w:rsidR="002A531F" w:rsidRDefault="002A531F" w:rsidP="00E811A7">
      <w:r>
        <w:separator/>
      </w:r>
    </w:p>
  </w:footnote>
  <w:footnote w:type="continuationSeparator" w:id="0">
    <w:p w14:paraId="31BD95AF" w14:textId="77777777" w:rsidR="002A531F" w:rsidRDefault="002A531F" w:rsidP="00E8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23D6B"/>
    <w:multiLevelType w:val="hybridMultilevel"/>
    <w:tmpl w:val="63C62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D80B7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B8"/>
    <w:rsid w:val="00045FF4"/>
    <w:rsid w:val="00083C12"/>
    <w:rsid w:val="00110FE2"/>
    <w:rsid w:val="00126571"/>
    <w:rsid w:val="00240FA2"/>
    <w:rsid w:val="002804AC"/>
    <w:rsid w:val="002A531F"/>
    <w:rsid w:val="002A5456"/>
    <w:rsid w:val="003133A0"/>
    <w:rsid w:val="00325FF0"/>
    <w:rsid w:val="003B417D"/>
    <w:rsid w:val="003F30A8"/>
    <w:rsid w:val="0041196C"/>
    <w:rsid w:val="004420D6"/>
    <w:rsid w:val="004724FF"/>
    <w:rsid w:val="004F0C19"/>
    <w:rsid w:val="004F6AF8"/>
    <w:rsid w:val="00542EDA"/>
    <w:rsid w:val="00555357"/>
    <w:rsid w:val="005919EF"/>
    <w:rsid w:val="00592525"/>
    <w:rsid w:val="00622615"/>
    <w:rsid w:val="006706BC"/>
    <w:rsid w:val="006E78FF"/>
    <w:rsid w:val="0077218A"/>
    <w:rsid w:val="007910AF"/>
    <w:rsid w:val="007E7823"/>
    <w:rsid w:val="00834806"/>
    <w:rsid w:val="00876CD8"/>
    <w:rsid w:val="00940555"/>
    <w:rsid w:val="00944A74"/>
    <w:rsid w:val="00987DF0"/>
    <w:rsid w:val="009D75FE"/>
    <w:rsid w:val="00A44087"/>
    <w:rsid w:val="00A90643"/>
    <w:rsid w:val="00AB6A7C"/>
    <w:rsid w:val="00AE726E"/>
    <w:rsid w:val="00AF20DA"/>
    <w:rsid w:val="00AF406B"/>
    <w:rsid w:val="00BB4C4E"/>
    <w:rsid w:val="00BF393C"/>
    <w:rsid w:val="00C129CD"/>
    <w:rsid w:val="00C62AB8"/>
    <w:rsid w:val="00CC0E6A"/>
    <w:rsid w:val="00CD2095"/>
    <w:rsid w:val="00D15828"/>
    <w:rsid w:val="00DB7624"/>
    <w:rsid w:val="00E737BB"/>
    <w:rsid w:val="00E811A7"/>
    <w:rsid w:val="00ED199C"/>
    <w:rsid w:val="00ED2BBC"/>
    <w:rsid w:val="00EE0641"/>
    <w:rsid w:val="00EF2DF2"/>
    <w:rsid w:val="00EF4891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701D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906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Policepardfaut"/>
    <w:rsid w:val="00C1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1899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Anne-Marie Thévenot-Werner</cp:lastModifiedBy>
  <cp:revision>13</cp:revision>
  <cp:lastPrinted>2022-12-16T14:41:00Z</cp:lastPrinted>
  <dcterms:created xsi:type="dcterms:W3CDTF">2022-12-07T15:17:00Z</dcterms:created>
  <dcterms:modified xsi:type="dcterms:W3CDTF">2022-12-21T22:29:00Z</dcterms:modified>
</cp:coreProperties>
</file>